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南通大学附属医院</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办公设备和相关软硬件维保服务</w:t>
      </w:r>
      <w:r>
        <w:rPr>
          <w:rFonts w:ascii="SimSun" w:hAnsi="SimSun" w:eastAsia="SimSun" w:cs="SimSun"/>
          <w:b/>
          <w:color w:val="000000"/>
          <w:sz w:val="44"/>
        </w:rPr>
        <w:t xml:space="preserve">采购项目</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项目编号：JSZC-320000-SHGK-G2026-0059</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采购人：南通大学附属医院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采购代理机构：江苏苏豪创新科技集团高科有限公司</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目  录</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6"/>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w:t>
      </w:r>
      <w:r/>
    </w:p>
    <w:p>
      <w:pPr>
        <w:numPr>
          <w:ilvl w:val="0"/>
          <w:numId w:val="6"/>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6"/>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合同文本</w:t>
      </w:r>
      <w:r/>
    </w:p>
    <w:p>
      <w:pPr>
        <w:numPr>
          <w:ilvl w:val="0"/>
          <w:numId w:val="6"/>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6"/>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评标方法与评标标准</w:t>
      </w:r>
      <w:r/>
    </w:p>
    <w:p>
      <w:pPr>
        <w:numPr>
          <w:ilvl w:val="0"/>
          <w:numId w:val="6"/>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第一章  招标公告</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受[南通大学附属医院]的委托，江苏苏豪创新科技集团高科有限公司就[办公设备和相关软硬件维保服务采购项目]([JSZC-320000-SHGK-G2026-0059])项目进行公开招标采购，欢迎符合条件的供应商投标。</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南通大学附属医院办公设备和相关软硬件维保服务采购项目的潜在投标人可在</w:t>
      </w:r>
      <w:r>
        <w:rPr>
          <w:rFonts w:ascii="FangSong" w:hAnsi="FangSong" w:eastAsia="FangSong" w:cs="FangSong"/>
          <w:color w:val="000000"/>
          <w:sz w:val="28"/>
          <w:u w:val="single"/>
        </w:rPr>
        <w:t xml:space="preserve">“江苏政府采购网”自行免费下载</w:t>
      </w:r>
      <w:r>
        <w:rPr>
          <w:rFonts w:ascii="FangSong" w:hAnsi="FangSong" w:eastAsia="FangSong" w:cs="FangSong"/>
          <w:color w:val="000000"/>
          <w:sz w:val="28"/>
        </w:rPr>
        <w:t xml:space="preserve">招标文件，并于</w:t>
      </w:r>
      <w:r>
        <w:rPr>
          <w:rFonts w:ascii="FangSong" w:hAnsi="FangSong" w:eastAsia="FangSong" w:cs="FangSong"/>
          <w:color w:val="000000"/>
          <w:sz w:val="28"/>
          <w:u w:val="single"/>
        </w:rPr>
        <w:t xml:space="preserve">2026年08月07日14时30分（北京时间）</w:t>
      </w:r>
      <w:r>
        <w:rPr>
          <w:rFonts w:ascii="FangSong" w:hAnsi="FangSong" w:eastAsia="FangSong" w:cs="FangSong"/>
          <w:color w:val="000000"/>
          <w:sz w:val="28"/>
        </w:rPr>
        <w:t xml:space="preserve">前递交投标文件。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1.项目编号：JSZC-320000-SHGK-G2026-0059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2.项目名称：南通大学附属医院办公设备和相关软硬件维保服务采购项目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3.预算金额：人民币300万元/三年（人民币100万元/年）</w:t>
      </w:r>
      <w:r/>
    </w:p>
    <w:p>
      <w:pPr>
        <w:ind w:left="0" w:right="0" w:firstLine="567"/>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4.最高限价：人民币174万元/三年（人民币58万元/年）（投标人投标报价不得超过上述限价金额，否则将作无效标处理）</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5.采购需求：办公设备和相关软硬件维修维护，详见《第四章 采购需求》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6.合同履约期限：三年，详见《第四章 采购需求》</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（一）通用资格要求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1.1具有独立承担民事责任的能力（提供法人或者其他组织的营业执照等证明文件，自然人的身份证明）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1.2具有良好的商业信誉和健全的财务会计制度（成立不满一年不需提供）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有依法缴纳税收和社会保障资金的良好记录（依法纳税凭据：提供参加政府采购活动前半年内（2026年1月-2026年6月）的任一月依法纳税的凭据，如完税凭证或税务机关开具的完税证明（个人所得税除外）；缴纳社会保险的凭据：提供参加政府采购活动前半年内（2026年1月-2026年6月）的任一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1.4具有履行合同所必需的设备和专业技术能力（提供书面声明）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1.5参加采购活动前3年内在经营活动中没有重大违法记录（提供书面声明）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1.6法律、行政法规规定的其他条件（提供书面声明）。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3.本项目不接受联合体投标。</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4.本项目不接受转包、分包。</w:t>
      </w:r>
      <w:r/>
    </w:p>
    <w:p>
      <w:pPr>
        <w:ind w:left="0" w:right="0" w:firstLine="560"/>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本项目专门面向中小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1.时间：自招标文件公告发布之日起5个工作日。</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2.方式：在“江苏政府采购网”自行免费下载招标文件。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u w:val="single"/>
        </w:rPr>
        <w:t xml:space="preserve">2026年08月07日14时30分（北京时间）</w:t>
      </w: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招标公告及招标文件公告期限为自本公告发布之日起5个工作日。</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1.投标保证金：免收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2.履约保证金：免收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3.项目演示、样品、答辩等：无。</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4.有关本次招标的事项若存在变动或修改，均以江苏政府采购网发布的更正或补充通知为准，敬请及时关注。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 “苏采云”系统使用相关提醒</w:t>
      </w:r>
      <w:r/>
    </w:p>
    <w:p>
      <w:pPr>
        <w:ind w:left="0" w:right="0" w:firstLine="560"/>
        <w:jc w:val="both"/>
        <w:spacing w:before="240" w:after="160" w:line="47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FangSong" w:hAnsi="FangSong" w:eastAsia="FangSong" w:cs="FangSong"/>
          <w:b/>
          <w:color w:val="000000"/>
          <w:sz w:val="28"/>
        </w:rPr>
        <w:t xml:space="preserve">具体办理指南和操作手册见链接：http://www.ccgp-jiangsu.gov.cn/jiangsu/zlxz/ee/ee3a4bc5a3454aa2b0d9312230633ce9.html。</w:t>
      </w:r>
      <w:r/>
    </w:p>
    <w:p>
      <w:pPr>
        <w:ind w:left="0" w:right="0" w:firstLine="560"/>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6.2领取CA和办理电子签章请至南通市政务服务中心裙楼四楼（南通市公共资源交中心）CA办理窗口办理，详见《江苏省政府采购数字证书(供应商)</w:t>
      </w:r>
      <w:r>
        <w:rPr>
          <w:rFonts w:ascii="SimSun" w:hAnsi="SimSun" w:eastAsia="SimSun" w:cs="SimSun"/>
          <w:color w:val="000000"/>
          <w:sz w:val="28"/>
        </w:rPr>
        <w:t xml:space="preserve"> </w:t>
      </w:r>
      <w:r>
        <w:rPr>
          <w:rFonts w:ascii="FangSong" w:hAnsi="FangSong" w:eastAsia="FangSong" w:cs="FangSong"/>
          <w:color w:val="000000"/>
          <w:sz w:val="28"/>
        </w:rPr>
        <w:t xml:space="preserve">CA及电子签章办理指南》），请及时进行注册并按要求制作、上传电子投标文件。</w:t>
      </w:r>
      <w:r/>
    </w:p>
    <w:p>
      <w:pPr>
        <w:ind w:left="0" w:right="0" w:firstLine="560"/>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w:t>
      </w:r>
      <w:r>
        <w:rPr>
          <w:rFonts w:ascii="FangSong" w:hAnsi="FangSong" w:eastAsia="FangSong" w:cs="FangSong"/>
          <w:color w:val="000000"/>
          <w:sz w:val="28"/>
        </w:rPr>
        <w:t xml:space="preserve">件，截止后下载采购文件，视为非有效参与方式且不做为供应商权益收到损害的证明材料和依据。</w:t>
      </w:r>
      <w:r/>
    </w:p>
    <w:p>
      <w:pPr>
        <w:ind w:left="0" w:right="120" w:firstLine="562"/>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6.4</w:t>
      </w:r>
      <w:r>
        <w:rPr>
          <w:rFonts w:ascii="FangSong" w:hAnsi="FangSong" w:eastAsia="FangSong" w:cs="FangSong"/>
          <w:color w:val="000000"/>
          <w:sz w:val="28"/>
        </w:rPr>
        <w:t xml:space="preserve">开标当天投标供应商应及时登录“苏采云”不见面开标大厅，并在规定时间内自行实施远程解密。</w:t>
      </w:r>
      <w:r>
        <w:rPr>
          <w:rFonts w:ascii="FangSong" w:hAnsi="FangSong" w:eastAsia="FangSong" w:cs="FangSong"/>
          <w:b/>
          <w:color w:val="000000"/>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FangSong" w:hAnsi="FangSong" w:eastAsia="FangSong" w:cs="FangSong"/>
          <w:color w:val="000000"/>
          <w:sz w:val="28"/>
        </w:rPr>
        <w:t xml:space="preserve">因采购人原因或网上招投标平台发生故障，导致无法按时完成响应文件解密或开、评标工作无法进行的，可根据实际情况相应延迟解密时间或调整开、评标时间。</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称：南通大学附属医院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址：南通市西寺路20号</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联系人：施老师、张老师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联系方式：0513-85052089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称：江苏苏豪创新科技集团高科有限公司</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址：南京市雨花台区软件大道21号苏豪国际广场北园C座617室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联系人：吴岢非、吴志叶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联系方式：025-52875983</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项目联系人：吴志叶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联系方式：025-52875936</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br w:type="page" w:clear="all"/>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第二章  投标人须知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本次招标采取公开招标方式，本招标文件仅适用于招标公告中所述项目。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2.1满足招标公告中供应商的资格要求的规定。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满足本文件实质性条款的规定。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本次招标及由此产生的合同受中华人民共和国有关的法律法规制约和保护。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投标人应自行承担所有与参加投标有关的费用，无论投标过程中的做法和结果如何，江苏苏豪创新科技集团高科有限公司（以下简称代理机构）在任何情况下均无义务和责任承担这些费用。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4.2本次招标代理机构和采购人不收取标书工本费。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中标人向采购代理机构支付招标服务费，服务费已由采购人计入本项目预算金额中。金额按计价格〔2002〕1980号《招标代理服务收费管理暂行办法》标准的52.67%计取。单个项目代理服务费不足1500元的按1500元收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开户名：江苏苏豪创新科技集团高科有限公司</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开户行：工行南京市白下支行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号：4301013119100888895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（4）采购需求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请仔细检查招标文件是否齐全，如有缺漏请立即与代理机构联系解决。</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任何要求对招标文件进行澄清的投标人，应在投标截止期</w:t>
      </w:r>
      <w:r>
        <w:rPr>
          <w:rFonts w:ascii="FangSong" w:hAnsi="FangSong" w:eastAsia="FangSong" w:cs="FangSong"/>
          <w:b/>
          <w:color w:val="000000"/>
          <w:sz w:val="28"/>
        </w:rPr>
        <w:t xml:space="preserve">15日</w:t>
      </w:r>
      <w:r>
        <w:rPr>
          <w:rFonts w:ascii="FangSong" w:hAnsi="FangSong" w:eastAsia="FangSong" w:cs="FangSong"/>
          <w:color w:val="000000"/>
          <w:sz w:val="28"/>
        </w:rPr>
        <w:t xml:space="preserve">前按招标公告中的通讯地址，以书面形式通知代理机构。采购人有权对发出的招标文件进行必要的澄清或修改。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在投标截止时间前，代理机构可以对招标文件进行修改。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代理机构有权按照法定的要求推迟投标截止日期和开标日期。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招标文件的修改将在江苏政府采购网公布，补充文件将作为招标文件的组成部分，并对投标人具有约束力。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8.4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投标人提交的投标文件以及投标人与代理机构就有关投标的所有来往通知、函件和文件均应使用简体中文。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如标书制作工具中格式和内容与“江苏政府采购网”发布的招标文件不一致，请以“江苏政府采购网”发布的招标文件为准。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投标人应按照招标文件要求提交证明文件，证明其及投标标的符合招标文件规定。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11.2招标文件对证明文件无明确形式要求的，证明文件可以以文字资料、图纸和数据等形式提交。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投标人按照招标文件规定格式填报投标分项报价表。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12.2投标货币。投标文件中的单价和总价无特殊规定的采用人民币报价，以元为单位标注。招标文件中另有规定的按规定执行。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13.1投标人需对招标文件中的技术要求与商务要求逐项作出响应或偏离，并说明原因。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13.2投标人需按照招标文件要求，在投标文件中提供与技术要求和商务要求相关的证明材料。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14．服务承诺、培训计划、人员安排及其他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投标人需根据招标文件要求提供培训计划。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投标人需根据招标文件要求提供所投标的的主要组成部分、功能设计、实现思路及关键技术等。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15．投标函和开标一览表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投标人应按照招标文件中提供的格式完整、正确填写投标函、开标一览表。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w:t>
      </w:r>
      <w:r>
        <w:rPr>
          <w:rFonts w:ascii="FangSong" w:hAnsi="FangSong" w:eastAsia="FangSong" w:cs="FangSong"/>
          <w:b/>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16.1投标有效期为代理机构规定的开标之日后</w:t>
      </w:r>
      <w:r>
        <w:rPr>
          <w:rFonts w:ascii="FangSong" w:hAnsi="FangSong" w:eastAsia="FangSong" w:cs="FangSong"/>
          <w:b/>
          <w:color w:val="000000"/>
          <w:sz w:val="28"/>
          <w:u w:val="single"/>
        </w:rPr>
        <w:t xml:space="preserve">九十（90）天</w:t>
      </w:r>
      <w:r>
        <w:rPr>
          <w:rFonts w:ascii="FangSong" w:hAnsi="FangSong" w:eastAsia="FangSong" w:cs="FangSong"/>
          <w:color w:val="000000"/>
          <w:sz w:val="28"/>
        </w:rPr>
        <w:t xml:space="preserve">。投标有效期比规定短的将被视为未实质性响应招标文件而予以拒绝。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17．投标有效期的延长</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18．电子投标文件的递交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18.1投标人应当按照《操作手册》规定，在投标截止时间前制作并上传电子投标文件。</w:t>
      </w:r>
      <w:r/>
    </w:p>
    <w:p>
      <w:pPr>
        <w:ind w:left="0" w:right="0" w:firstLine="0"/>
        <w:jc w:val="both"/>
        <w:spacing w:before="280" w:after="29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19．投标截止日期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19.1 投标人上传电子投标文件的时间不得迟于招标公告中规定的投标截止时间。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投标人应充分考虑到网络环境、网络带宽等风险因素，如因投标人自身原因造成电子投标文件上传不成功的，按照本招标文件第二章第27.1.2条规定做无效投标处理。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19.2代理机构可以按照规定，通过修改招标文件酌情延长投标截止日期，在此情况下，投标人的所有权利和义务以及投标人受制的截止日期均应以延长后新的截止日期为准。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20．投标文件的拒收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代理机构拒绝接收在其规定的投标截止时间后上传的任何投标文件。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21．投标文件的撤回和修改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21.1.1 电子投标文件的撤回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21.1.2 投标人撤回电子投标文件，则认为其不再参与本项目投标活动。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投标文件的修改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21.2.1投标人可在投标截止时间前，对其电子投标文件进行修改，具体操作方法见《操作手册》。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21.2.2 在投标截止时间之后，投标人不得对其电子投标文件作任何修改。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在投标截止时间至招标文件中规定的投标有效期满之间的这段时间内，投标人不得撤回其投标。</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22．开标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22.1代理机构将在招标公告中规定的时间和地点组织公开开标。投标人应当按照《操作手册》规定，参加开标活动和在苏采云系统规定的时间内对投标文件进行解密。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22.2开标仪式由代理机构组织。苏采云系统将自动对项目进行开标，并宣布各投标人名称和投标价格。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22.3投标人在开标过程中涉及到的投标文件解密、开标结果确认等工作，应按照《操作手册》规定执行。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22.4投标人如果对开标过程和开标记录有疑义，应当根据《操作手册》规定提出，如苏采云系统中《开标记录表》宣布后5分钟内未提出的，视同认可开标结果。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23．评标委员会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23.1开标后，代理机构将立即组织评标委员会（以下简称评委会）进行评标。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评委会由采购人代表和有关技术、经济等方面的专家组成，且人员构成符合政府采购有关规定。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23.3评委会独立工作，负责评审所有投标文件并确定中标侯选人。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24．评标过程的保密与公正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24.1凡是与审查、澄清、评价和比较投标的有关资料以及授标建议等，采购人、评委、代理机构均不得向投标人或与评标无关的其他人员透露。</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24.2在评标过程中，投标人不得以任何行为影响评标过程，否则其投标文件将被作为无效投标文件。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24.3代理机构和评标委员会不向未中标的投标人解释未中标原因，也不公布评标过程中的相关细节。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24.4 采用综合评分法的项目，未中标的投标人可于中标结果公告期限届满之日起通过苏采云系统查看自己的评审得分及排序情况。</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25．投标文件的澄清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25.1评标期间，评委会对投标文件中含义不明确、同类问题表述不一致或者有明显文字和计算错误的内容，有权要求投标人作出必要的澄清、说明或者补正。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评标委员会并非对每个投标人都做澄清要求。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接到评委会澄清、说明和补正要求的投标人如未按规定做出澄清、说明和补正，其风险由投标人自行承担。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26．对投标文件的初审</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26.1投标文件初审分为资格审查和符合性审查。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26.1.1 资格审查：依据法律法规和招标文件的规定，由采购人对投标文件中的资格证明文件进行审查。资格审查的结论，采购人以书面形式向评委会进行反馈。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符合性审查：依据招标文件的规定，由评委会从投标文件的有效性、完整性和对招标文件的响应程度进行审查，以确定是否对招标文件的实质性要求作出响应。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26.3如果投标文件实质上没有响应招标文件的要求，评委会将予以拒绝，投标人不得通过修改或撤销不合要求的偏离或保留而使其投标成为实质性响应的投标。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26.4评委会将对确定为实质性响应的投标进行进一步审核，看其是否有计算上或累加上的算术错误，修正错误的原则如下：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26.7投标人在开、评标全过程中应保持通讯畅通，及时登录苏采云系统查阅、答复相关信息，并安排专人与代理机构及评标委员会联系。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27．无效投标条款和废标条款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27.1无效投标条款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 投标人在苏采云系统规定的时间内未成功解密电子投标文件的。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27.1.2 投标人未按照招标文件要求上传电子投标文件的。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27.1.3投标人同一分包提交两个（含两个）以上不同的投标报价的。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27.1.4投标人不具备招标文件中规定资格要求的。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27.1.5投标人的报价超过了采购预算或最高限价的。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27.1.6未通过符合性审查的。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27.1.7不符合招标文件中规定的实质性要求的（详见本招标文件第四章采购需求中标有“★”的技术要求及相关商务要求）。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27.1.9 投标文件含有采购人不能接受的附加条件的。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27.1.10</w:t>
      </w:r>
      <w:r>
        <w:rPr>
          <w:rFonts w:ascii="FangSong" w:hAnsi="FangSong" w:eastAsia="FangSong" w:cs="FangSong"/>
          <w:color w:val="ff0000"/>
          <w:sz w:val="28"/>
        </w:rPr>
        <w:t xml:space="preserve">评审过程中出现下列情形之一的，评审委员会应当启动异常低价投标（响应）审查程序：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（1）投标（响应）报价低于全部通过符合性审查供应商投标（响应）报价平均值50%的，即投标（响应）报价＜全部通过符合性审查供应商投标（响应）报价平均值×50%；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（2）投标（响应）报价低于通过符合性审查的次低报价供应商投标（响应）报价50%的，即投标（响应）报价＜通过符合性审查的次低报价供应商投标（响应）报价×50%；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（3）投标（响应）报价低于采购项目最高限价45%的，即投标（响应）报价＜采购项目最高限价×45%；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（4）评审委员会基于专业判断，认为供应商报价过低，有可能影响产品质量或者不能诚信履约的其他情形。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27.1.12 投标文件未按照招标文件要求加盖CA电子公章的。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27.1.13其他法律、法规及本招标文件规定的属无效投标的情形。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27.1.14投标人的商务技术部分得分相差异常悬殊，评标委员会一致认为得分畸低者有可能影响产品质量或者不能诚信履约的。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27.2.1符合专业条件的供应商或者对招标文件作实质响应的供应商不足三家的。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27.2.2出现影响采购公正的违法、违规行为的。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27.2.3因重大变故，采购任务取消的。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27.2.4评标委员会认定招标文件存在歧义、重大缺陷导致评审工作无法进行。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27.2.5 因苏采云系统系统故障原因造成开标不成功的。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投标截止时间结束后参加投标的供应商不足三家的处理：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28．确定中标单位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28.1中标候选人的选取原则和数量见招标文件第五章规定。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采购人应根据评委会推荐的中标候选人确定中标人。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代理机构将在“江苏政府采购网”发布中标公告，公告期限为1个工作日。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若有充分证据证明，中标人出现下列情况之一的，一经查实，将被取消中标资格：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28.4.1提供虚假材料谋取中标的。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28.4.2向采购人、代理机构行贿或者提供其他不正当利益的。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28.4.3属于本文件规定的无效条件，但在评标过程中又未被评委会发现的。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28.4.4与采购人或者其他供应商恶意串通的。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28.4.5采取不正当手段诋毁、排挤其他供应商的。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有下列情形之一的，视为投标人串通投标，投标无效：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28.5.1不同投标人的投标文件由同一单位或者个人编制；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28.5.2不同投标人委托同一单位或者个人办理投标事宜；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28.5.3 不同投标人的投标文件载明的项目管理成员或者联系人员为同一人；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28.5.4不同投标人的投标文件异常一致或者投标报价呈规律性差异；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29．质疑处理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29.1 提出质疑的供应商应当是参与所质疑项目采购活动的供应商。潜在供应商依法获取其可质疑的采购文件的，可以对采购文件提出质疑。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采购人及代理机构只接收以纸质原件形式送达的质疑,建议供应商尽量通过邮寄方式提交质疑（采购人和代理机构不接受无快递运单号的快递）。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 以下情形的质疑不予受理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29.5.1 内容不符合《政府采购质疑和投诉办法》第十二条规定的质疑。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29.5.2 超出政府采购法定期限的质疑。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29.5.3 以传真、电子邮件等方式递交的非原件形式的质疑。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29.5.4 未参加投标活动的供应商或在投标活动中自身权益未受到损害的供应商所提出的质疑。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29.5.5供应商组成联合体参加投标，联合体中任何一方或多方未按要求签字、盖章、加盖公章的质疑。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30．中标通知书</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七、授予合同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签订合同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31.l中标人应当在中标通知书发出之日起三十日内，按照招标文件确定的事项与采购人签订政府采购合同。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31.2招标文件、中标人的投标文件及招标过程中有关澄清、承诺文件均应作为合同附件。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31.3 签订合同后，</w:t>
      </w:r>
      <w:r>
        <w:rPr>
          <w:rFonts w:ascii="FangSong" w:hAnsi="FangSong" w:eastAsia="FangSong" w:cs="FangSong"/>
          <w:color w:val="000000"/>
          <w:sz w:val="28"/>
          <w:u w:val="single"/>
        </w:rPr>
        <w:t xml:space="preserve">中标人不得将合同标的进行转包</w:t>
      </w:r>
      <w:r>
        <w:rPr>
          <w:rFonts w:ascii="FangSong" w:hAnsi="FangSong" w:eastAsia="FangSong" w:cs="FangSong"/>
          <w:color w:val="000000"/>
          <w:sz w:val="28"/>
        </w:rPr>
        <w:t xml:space="preserve">。未经采购人同意，中标人也不得采用分包的形式履行合同，否则采购人有权终止合同。转包或分包造成采购人损失的，中标人应承担相应赔偿责任。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32．货物（包含与货物相关的服务）的追加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33．政府采购履约资金扶持政策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0"/>
        <w:jc w:val="both"/>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南通大学附属医院</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办公设备和相关软硬件维保服务合同</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合同编号：</w:t>
      </w:r>
      <w:r>
        <w:rPr>
          <w:rFonts w:ascii="SimSun" w:hAnsi="SimSun" w:eastAsia="SimSun" w:cs="SimSun"/>
          <w:color w:val="000000"/>
          <w:sz w:val="24"/>
          <w:u w:val="single"/>
        </w:rPr>
        <w:t xml:space="preserve">WBHT-</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甲方（维保服务购买方）：南通大学附属医院</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地址：南通市崇川区西寺路20号  </w:t>
        <w:tab/>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电话：0513-85052476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乙方（维保服务提供方）：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tab/>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甲乙双方经过平等协商，达成本维保服务合同（以下简称“合同”）。合同内容包括具体条款、附件及合同中提及的其他文件。</w:t>
      </w:r>
      <w:r/>
    </w:p>
    <w:p>
      <w:pPr>
        <w:numPr>
          <w:ilvl w:val="0"/>
          <w:numId w:val="7"/>
        </w:numPr>
        <w:jc w:val="both"/>
        <w:spacing w:before="240" w:after="0" w:line="276"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维修、维保服务的设备及要求：</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1.1设备名称及维保时间：</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1984"/>
        <w:gridCol w:w="1276"/>
        <w:gridCol w:w="1701"/>
        <w:gridCol w:w="1701"/>
      </w:tblGrid>
      <w:tr>
        <w:trPr>
          <w:trHeight w:val="2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维保开始日期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维保终止日期</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c>
          <w:tcPr>
            <w:vMerge w:val="continue"/>
            <w:textDirection w:val="lrTb"/>
            <w:noWrap w:val="false"/>
          </w:tcPr>
          <w:p>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c>
          <w:tcPr>
            <w:vMerge w:val="continue"/>
            <w:textDirection w:val="lrTb"/>
            <w:noWrap w:val="false"/>
          </w:tcPr>
          <w:p>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c>
          <w:tcPr>
            <w:vMerge w:val="continue"/>
            <w:textDirection w:val="lrTb"/>
            <w:noWrap w:val="false"/>
          </w:tcPr>
          <w:p>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c>
          <w:tcPr>
            <w:vMerge w:val="continue"/>
            <w:textDirection w:val="lrTb"/>
            <w:noWrap w:val="false"/>
          </w:tcPr>
          <w:p>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c>
          <w:tcPr>
            <w:vMerge w:val="continue"/>
            <w:textDirection w:val="lrTb"/>
            <w:noWrap w:val="false"/>
          </w:tcPr>
          <w:p>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1.2服务内容：</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）电脑设备系统和相关软件的维护</w:t>
      </w:r>
      <w:r>
        <w:rPr>
          <w:rFonts w:ascii="Times New Roman" w:hAnsi="Times New Roman" w:eastAsia="Times New Roman" w:cs="Times New Roman"/>
          <w:color w:val="000000"/>
          <w:sz w:val="24"/>
        </w:rPr>
        <w:t xml:space="preserve">;</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电脑的硬件安装上桌，导入系统镜像，优化启动运行效率。</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内外网电脑系统故障修复，安装漏洞补丁，镜像升级后重新部署。</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安装常用办公软件、业务软件。</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响应信息中心的合理需要安装其它院方软件。</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）常用各类打印机等设备的安装与维护；</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医院运行电脑各类打印设备驱动安装调试。</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激光、热敏打印机、报告机、触摸屏常见硬件故障检查以及维修。</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严重故障，快速响应给出解决方案，更换客户现有设备配件。</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）办公电脑及相关设备硬件故障日常运维；</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普通故障直接排除，保障全院各科室办公电脑及其他设备稳定运行。</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办公电脑硬件故障维修，调试更换配件，所更换配件的性能不得低于原配件性能。</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严重故障，快速响应给出解决方案。</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IT</w:t>
      </w:r>
      <w:r>
        <w:rPr>
          <w:rFonts w:ascii="SimSun" w:hAnsi="SimSun" w:eastAsia="SimSun" w:cs="SimSun"/>
          <w:color w:val="000000"/>
          <w:sz w:val="24"/>
        </w:rPr>
        <w:t xml:space="preserve">办公设备基础上网维护工作。</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办公电脑基础上网设定以及排错调试。</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多台电脑共享打印设备和文件调试。</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有外网需求的科室提供</w:t>
      </w:r>
      <w:r>
        <w:rPr>
          <w:rFonts w:ascii="Times New Roman" w:hAnsi="Times New Roman" w:eastAsia="Times New Roman" w:cs="Times New Roman"/>
          <w:color w:val="000000"/>
          <w:sz w:val="24"/>
        </w:rPr>
        <w:t xml:space="preserve">WIFI</w:t>
      </w:r>
      <w:r>
        <w:rPr>
          <w:rFonts w:ascii="SimSun" w:hAnsi="SimSun" w:eastAsia="SimSun" w:cs="SimSun"/>
          <w:color w:val="000000"/>
          <w:sz w:val="24"/>
        </w:rPr>
        <w:t xml:space="preserve">设备调试上网。</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服务要求：</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提供</w:t>
      </w:r>
      <w:r>
        <w:rPr>
          <w:rFonts w:ascii="Times New Roman" w:hAnsi="Times New Roman" w:eastAsia="Times New Roman" w:cs="Times New Roman"/>
          <w:color w:val="000000"/>
          <w:sz w:val="24"/>
        </w:rPr>
        <w:t xml:space="preserve">365</w:t>
      </w:r>
      <w:r>
        <w:rPr>
          <w:rFonts w:ascii="SimSun" w:hAnsi="SimSun" w:eastAsia="SimSun" w:cs="SimSun"/>
          <w:color w:val="000000"/>
          <w:sz w:val="24"/>
        </w:rPr>
        <w:t xml:space="preserve">天</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小时全天候服务，在发生故障接到报修通知后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分钟内维修人员到达现场进行维修，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小时内修复，不能按时修复的，需按使用人员要求提供备用机服务。</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提供报修热线及公司负责人联络电话。</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维修过程中必须注意数据安全，任何可能影响数据安全的操作必须征得使用科室同意并尽可能做好数据安全备份。</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更换配件须事先告知使用部门，所更换下来的任何配件特别是存储设备须及时交医学装备处，不得带离医院私自处理。</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维修维保完毕，经双方共同验收合格，并在维修单上签字确认，交医学装备处备存。</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保证维修人员具备相应的资质和能力，做到服务态度好，责任明确，业务熟练，工作到位，作风端正；对维修人员履行职务的行为承担全部责任，因维护不当造成设施设备损坏的，应承担赔偿责任。</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供应商对因履行服务合同而获知的院方商业机密、培训资料、客户和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或病人资料等信息保密。如无正当理由违反前述保密义务的，应赔偿院方因此遭受的直接及间接损失。</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1.3.8</w:t>
      </w:r>
      <w:r>
        <w:rPr>
          <w:rFonts w:ascii="SimSun" w:hAnsi="SimSun" w:eastAsia="SimSun" w:cs="SimSun"/>
          <w:color w:val="000000"/>
          <w:sz w:val="24"/>
        </w:rPr>
        <w:t xml:space="preserve">东西院区同质化服务。</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1.3.9</w:t>
      </w:r>
      <w:r>
        <w:rPr>
          <w:rFonts w:ascii="SimSun" w:hAnsi="SimSun" w:eastAsia="SimSun" w:cs="SimSun"/>
          <w:color w:val="000000"/>
          <w:sz w:val="24"/>
        </w:rPr>
        <w:t xml:space="preserve">派驻技术人员不少于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名。（提供人员清单及供应商为其缴纳的近三个月内任意一个月社保证明）</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1.3.10</w:t>
      </w:r>
      <w:r>
        <w:rPr>
          <w:rFonts w:ascii="SimSun" w:hAnsi="SimSun" w:eastAsia="SimSun" w:cs="SimSun"/>
          <w:color w:val="000000"/>
          <w:sz w:val="24"/>
        </w:rPr>
        <w:t xml:space="preserve">服务期内一个月内接到十次及以上投诉，采购人有权终止合同。</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1.3.11</w:t>
      </w:r>
      <w:r>
        <w:rPr>
          <w:rFonts w:ascii="SimSun" w:hAnsi="SimSun" w:eastAsia="SimSun" w:cs="SimSun"/>
          <w:color w:val="000000"/>
          <w:sz w:val="24"/>
        </w:rPr>
        <w:t xml:space="preserve">服务期内人员安全保障均由供应商负责。</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1.3.12</w:t>
      </w:r>
      <w:r>
        <w:rPr>
          <w:rFonts w:ascii="SimSun" w:hAnsi="SimSun" w:eastAsia="SimSun" w:cs="SimSun"/>
          <w:color w:val="000000"/>
          <w:sz w:val="24"/>
        </w:rPr>
        <w:t xml:space="preserve">后期如有打印机等设备参与托管，数量根据医院情况动态调整。</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1.3.13</w:t>
      </w:r>
      <w:r>
        <w:rPr>
          <w:rFonts w:ascii="SimSun" w:hAnsi="SimSun" w:eastAsia="SimSun" w:cs="SimSun"/>
          <w:color w:val="000000"/>
          <w:sz w:val="24"/>
        </w:rPr>
        <w:t xml:space="preserve">设备报废情况需由医学装备处评估确认。</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2.乙方24小时服务热线电话：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3.乙方的责任：</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3.1乙方为甲方提供在线支持、现场检修及零备件更换。</w:t>
      </w:r>
      <w:r/>
    </w:p>
    <w:p>
      <w:pPr>
        <w:ind w:left="400" w:right="0" w:hanging="40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3.2在线支持服务，乙方资深工程师在线技术支持，答疑，即时诊断机器故障，制定维修方案。</w:t>
      </w:r>
      <w:r/>
    </w:p>
    <w:p>
      <w:pPr>
        <w:ind w:left="40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3.3零配件更换：在合同有效期内，本合同服务范围内的设备进行维修所发生的一切费用（包括零配件费，乙方人工费和出差费等），由乙方承担。</w:t>
      </w:r>
      <w:r/>
    </w:p>
    <w:p>
      <w:pPr>
        <w:ind w:left="40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3.4乙方保证设备开机率为95%（以一年365天计算），如因乙方原因设备在保修期内未能达到95%的开机率，则每耽搁1天使用，保修期相应延长3天。</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4.甲方的责任：</w:t>
      </w:r>
      <w:r/>
    </w:p>
    <w:p>
      <w:pPr>
        <w:ind w:left="400" w:right="0" w:hanging="40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4.1甲方应按机器使用手册的要求进行操作及日常维护，并保证机器所需电源、气源的正常供应及开启和关闭。</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4.2甲方应按合同约定的方式按时向乙方支付维保服务费用。</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5.项目验收：</w:t>
      </w:r>
      <w:r/>
    </w:p>
    <w:p>
      <w:pPr>
        <w:ind w:left="40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5.1服务期内乙方应每半年一次及时提供巡检保养与维修情况汇总表，汇总维修巡检保养、配件更换及其他服务详情，并提供维修巡检保养报告。</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 甲方根据合同约定每半年一次对乙方提供的服务组织验收。</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6.合同总价款：</w:t>
      </w:r>
      <w:r/>
    </w:p>
    <w:p>
      <w:pPr>
        <w:ind w:left="0" w:right="0" w:firstLine="40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7.付款方式：</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7.1双方约定维保费用分期支付，每6个月为一个支付期，具体付款安排如下：</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日付人民币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日付人民币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7.2甲方根据付款安排且在收到乙方开具的合规等额的发票后30日内将当期款项支付至乙方指定账户。付款前，乙方服务应通过甲方验收且设备处于完好状态。</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7.3乙方服务未通过甲方验收或未将发票提交给甲方的，甲方有权拒付款项且不承担违约责任。</w:t>
      </w:r>
      <w:r/>
    </w:p>
    <w:p>
      <w:pPr>
        <w:ind w:left="42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7.4乙方指定账户信息如下：</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账户：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账号：</w:t>
      </w:r>
      <w:r/>
    </w:p>
    <w:p>
      <w:pPr>
        <w:ind w:left="0" w:right="0" w:firstLine="421"/>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开户行：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争议解决及法律适用：</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8.1双方应本着友好协商的原则解决争议。如协商不成，可向甲方所在地方人民法院提起诉讼。</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8.2本合同适用中华人民共和国民法典。</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9.合同生效：</w:t>
      </w:r>
      <w:r/>
    </w:p>
    <w:p>
      <w:pPr>
        <w:ind w:left="0" w:right="0" w:firstLine="42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本合同正本一式四份，甲方执三份乙方执一份，经双方签署后生效，各份具有同等法律效力。</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甲方：南通大学附属医院乙方：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tab/>
        <w:t xml:space="preserve">                             （盖章）</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tab/>
        <w:t xml:space="preserve">                             （签字）</w:t>
        <w:tab/>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tab/>
        <w:t xml:space="preserve">                             日期：</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采购需求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pStyle w:val="754"/>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1、设备清单：</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5670"/>
        <w:gridCol w:w="1276"/>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4425</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笔记本电脑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医疗设备配套电脑（含自助报告机、自助查询机）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0" w:type="dxa"/>
            <w:vAlign w:val="center"/>
            <w:textDirection w:val="lrTb"/>
            <w:noWrap/>
          </w:tcPr>
          <w:p>
            <w:pPr>
              <w:ind w:left="0" w:right="0" w:firstLine="0"/>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PDA（仅软件）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180" w:after="4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bl>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数量为采购人目前设备情况，仅供参考</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2、服务范围：办公设备和相关软硬件维修维护，包含不限次人工及配件（人为损坏除外）</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54"/>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（1）电脑设备系统和相关软件的维护;</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1.电脑的硬件安装上桌，导入系统镜像，优化启动运行效率。</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2.内外网电脑系统故障修复，安装漏洞补丁，镜像升级后重新部署。</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3.安装常用办公软件、业务软件。</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4.响应信息中心的合理需要安装其它院方软件。</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（2）常用各类打印机等设备的安装与维护；</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1.医院运行电脑各类打印设备驱动安装调试。</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2.激光、热敏打印机、报告机、触摸屏常见硬件故障检查以及维修。</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3.严重故障，快速响应给出解决方案，更换客户现有设备配件。</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（3）办公电脑及相关设备硬件故障日常运维；</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1.普通故障直接排除，保障全院各科室办公电脑及其他设备稳定运行。</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2.办公电脑硬件故障维修，调试更换配件，所更换配件的性能不得低于原配件性能。</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3.严重故障，快速响应给出解决方案。</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（4）IT办公设备基础上网维护工作。</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1.办公电脑基础上网设定以及排错调试。</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2.多台电脑共享打印设备和文件调试。</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3.有外网需求的科室提供WIFI设备调试上网。</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1.提供365天*24小时全天候服务，在发生故障接到报修通知后30分钟内维修人员到达现场进行维修，1小时内修复，不能按时修复的，需按使用人员要求提供备用机服务。</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2.提供报修热线及公司负责人联络电话。</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3.维修过程中必须注意数据安全，任何可能影响数据安全的操作必须征得使用科室同意并尽可能做好数据安全备份。</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4.更换配件须事先告知使用部门，所更换下来的任何配件特别是存储设备须及时交医学装备处，不得带离医院私自处理。</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5.维修维保完毕，经双方共同验收合格，并在维修单上签字确认，交医学装备处备存。</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6.保证维修人员具备相应的资质和能力，做到服务态度好，责任明确，业务熟练，工作到位，作风端正；对维修人员履行职务的行为承担全部责任，因维护不当造成设施设备损坏的，应承担赔偿责任。</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7.供应商对因履行服务合同而获知的院方商业机密、培训资料、客户和/或病人资料等信息保密。如无正当理由违反前述保密义务的，应赔偿院方因此遭受的直接及间接损失。</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8．东西院区同质化服务。</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9．派驻技术人员不少于5名。（提供人员清单及供应商为其缴纳的近三个月内任意一个月社保证明）</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10.服务期内一个月内接到十次及以上投诉，采购人有权终止合同。</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11.服务期内人员安全保障均由供应商负责。</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12.后期如有打印机等设备参与托管，数量根据医院情况动态调整。</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13.设备报废情况需由医学装备处评估确认。</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54"/>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2018"/>
        <w:gridCol w:w="6495"/>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商务和服务要求</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南通大学附属医院</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待定</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服务期限：三年，合同一年一签（如遇设备托管等重大需求调整，不再续签下一年度合同，另行开展采购活动）。</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地点：南通大学附属医院指定地点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1、服务期内服务供应商应每半年一次及时提供维修情况汇总表，汇总维修、配件更换及其他服务详情，并提供维修报告；</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2、甲方根据南通大学附属医院医疗设备维保服务履约验收单对服务商提供的服务组织验收；</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3、通过验收则支付相应服务款项，详见项目结算；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5" w:type="dxa"/>
            <w:vAlign w:val="center"/>
            <w:textDirection w:val="lrTb"/>
            <w:noWrap w:val="false"/>
          </w:tcPr>
          <w:p>
            <w:pPr>
              <w:ind w:left="0" w:right="0" w:firstLine="0"/>
              <w:spacing w:before="20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1、合同签订后服务期内每半年经项目验收通过后等比例支付，服务期满经项目验收通过后付清全款。</w:t>
            </w:r>
            <w:r/>
          </w:p>
          <w:p>
            <w:pPr>
              <w:ind w:left="0" w:right="0" w:firstLine="0"/>
              <w:spacing w:before="20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2、供应商须提供合规等额的发票。</w:t>
            </w:r>
            <w:r/>
          </w:p>
          <w:p>
            <w:pPr>
              <w:ind w:left="0" w:right="0" w:firstLine="0"/>
              <w:spacing w:before="20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3、如设备提前报废或服务方无法保证部件的提供的情况下经双方协商可提前终止合同，按实际使用天数结算。</w:t>
            </w:r>
            <w:r/>
          </w:p>
        </w:tc>
      </w:tr>
    </w:tbl>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4"/>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4.1上述中加注“★”符号的关键条款指标为实质性要求，不允许负偏离，否则投标无效；加注“▲”符号的重要条款指标；其他为一般条款指标。</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4.2加注“★”符号的关键条款指标、加注“▲”符号的重要条款指标和一般条款指标要求提供相关材料的，均须提供证明材料，未提供的评委有权认定为负偏离。</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4.3商务要求条款均为实质性要求不允许负偏离，否则投标无效。</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4.4对应中小企业划分标准所属行业：其他未列明行业。</w:t>
        <w:br w:type="page" w:clear="all"/>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第五章</w:t>
      </w:r>
      <w:r>
        <w:rPr>
          <w:rFonts w:ascii="Arial" w:hAnsi="Arial" w:eastAsia="Arial" w:cs="Arial"/>
          <w:b/>
          <w:color w:val="000000"/>
          <w:sz w:val="40"/>
        </w:rPr>
        <w:t xml:space="preserve">  </w:t>
      </w:r>
      <w:r>
        <w:rPr>
          <w:rFonts w:ascii="Microsoft YaHei" w:hAnsi="Microsoft YaHei" w:eastAsia="Microsoft YaHei" w:cs="Microsoft YaHei"/>
          <w:b/>
          <w:color w:val="000000"/>
          <w:sz w:val="40"/>
        </w:rPr>
        <w:t xml:space="preserve">评标方法与评标标准</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1、根据《政府采购促进中小企业发展管理办法》（财库【2020】46号）要求，本项目属于专门面向中小企业采购的项目。</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（1）本项目属于服务类采购。即采购服务全部由中小企业承接。（供应商必须提供中小企业声明函（见格式）或《残疾人福利性单位声明函》或监狱和戒毒企业证明材料）</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（2）中小微企业划型标准请对照《关于印发中小企业划型标准规定的通知》（工信部联企业〔2011〕300号）（详见附件）。本项目采购标的对应的中小企业划分标准所属行业为：</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2、采购本国产品的支持政策</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（2）本项目政府采购活动中既有本国产品又有非本国产品参与竞争的，依法对本国产品给予价格评审优惠，对本国产品的报价给予  20%的价格扣除，用扣除后的价格参与评审。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（4）供应商需按照招标文件的要求提供《关于符合本国产品标准的声明函》（以下简称《声明函》），如不提供将不享受本国产品价格评审优惠。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8"/>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具体要求详见报价表要求。</w:t>
      </w:r>
      <w:r/>
    </w:p>
    <w:p>
      <w:pPr>
        <w:numPr>
          <w:ilvl w:val="0"/>
          <w:numId w:val="8"/>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2.2响应文件签字、盖章符合文件要求；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numPr>
          <w:ilvl w:val="0"/>
          <w:numId w:val="8"/>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3.1《技术、商务条款偏离表》中★条款出现任何负偏离的。</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7217"/>
        <w:gridCol w:w="908"/>
      </w:tblGrid>
      <w:tr>
        <w:trPr>
          <w:trHeight w:val="2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分值（分）</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投标文件要求且价格最低的投标报价为评标基准价，其价格分为满分20分。其他投标人的价格分按照下列公式计算，保留小数点后2位：投标报价得分=（评标基准价／投标报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评委根据投标文件中《技术要求响应/偏离表》进行评审：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完全响应投标文件第四章采购需求中二、技术要求的，得26分，一般技术指标每有一项正偏离或响应加1分。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稳定零配件、备件、耗材供应渠道，提供相关供应采购渠道证明材料，如经销商资质证明、与上游具备供货能力供应商的合同或合作协议等，相关证明材料完整有效（有效期包含开标日）的，每有一份得2分，满分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计算机和办公设备维修人员(计算机维修工、办公设备维修工、信息通信网络终端维修员)资质的派驻人员，提供职业技能等级证书（复印件并加盖公章）及投标人开标日前近半年内任意一个月为该人员缴纳社保的证明材料。高级工及以上等级人员，每提供一人得1分；高级工以下等级的，每提供一人得0.5分。同一个人拥有多份证书以高分项计分，不累计加分。最高得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投标人在国内设有零备件库，提供仓库地址、实拍照片、联系人以及场地租赁协议或产权证明材料等相关证明材料的，得4分；材料不能体现仓库情况或未提供的不得分。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根据各投标人提供的项目实施方案内容（包括但不限于</w:t>
            </w:r>
            <w:r>
              <w:rPr>
                <w:rFonts w:ascii="SimSun" w:hAnsi="SimSun" w:eastAsia="SimSun" w:cs="SimSun"/>
                <w:b/>
                <w:color w:val="000000"/>
                <w:sz w:val="24"/>
              </w:rPr>
              <w:t xml:space="preserve">a项目整体管理方案、b人员组织管理及架构设置、c服务档案管理制度</w:t>
            </w:r>
            <w:r>
              <w:rPr>
                <w:rFonts w:ascii="SimSun" w:hAnsi="SimSun" w:eastAsia="SimSun" w:cs="SimSun"/>
                <w:color w:val="000000"/>
                <w:sz w:val="24"/>
              </w:rPr>
              <w:t xml:space="preserve">等）的完备程度及针对性、合理性进行评审：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完全涵盖以上</w:t>
            </w:r>
            <w:r>
              <w:rPr>
                <w:rFonts w:ascii="SimSun" w:hAnsi="SimSun" w:eastAsia="SimSun" w:cs="SimSun"/>
                <w:b/>
                <w:color w:val="000000"/>
                <w:sz w:val="24"/>
              </w:rPr>
              <w:t xml:space="preserve">3项内容最多得6分；包含任意1项最多得2分。 </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1、方案内容完整清晰、安排合理、完全针对采购人需求优化设计的，得2分；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2、方案内容不够完整清晰、安排合理性不足、未针对采购人需求设计的，得1分；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根据各投标人针对本项目拟定的日常维护方案（包括但不限于</w:t>
            </w:r>
            <w:r>
              <w:rPr>
                <w:rFonts w:ascii="SimSun" w:hAnsi="SimSun" w:eastAsia="SimSun" w:cs="SimSun"/>
                <w:b/>
                <w:color w:val="000000"/>
                <w:sz w:val="24"/>
              </w:rPr>
              <w:t xml:space="preserve">a定期维护巡检方案、b维护响应时间节点、c维修流程细则、d内部调度和支持系统、e维保期内的软件技术支持和软件升级、f技术人员管理及流程交接方案</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完全涵盖以上6项内容最多得6分；包含任意1项最多得1分。 </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1、装调试方案完整详尽，专业性、可行性强，考虑周全，思路特别清晰，符合项目需求，得1分；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2、对项目执行有一定认识，方案较为完整，思路基本清晰，基本符合项目需求，得0.5分；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根据各投标人针对本项目拟定的培训方案（包括但不限于</w:t>
            </w:r>
            <w:r>
              <w:rPr>
                <w:rFonts w:ascii="SimSun" w:hAnsi="SimSun" w:eastAsia="SimSun" w:cs="SimSun"/>
                <w:b/>
                <w:color w:val="000000"/>
                <w:sz w:val="24"/>
              </w:rPr>
              <w:t xml:space="preserve">a日常维护保养培训、b临时维修使用培训、c培训计划及师资安排</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完全涵盖以上3项内容最多得6分；包含任意1项最多得2分。 </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1、方案完整详尽，专业性、可行性强，考虑周全，思路特别清晰，符合项目需求，得2分；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2、对项目执行有一定认识，方案较为完整，思路基本清晰，基本符合项目需求，得1分；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根据各投标人针对本项目拟定的质量管控方案（包括但不限于</w:t>
            </w:r>
            <w:r>
              <w:rPr>
                <w:rFonts w:ascii="SimSun" w:hAnsi="SimSun" w:eastAsia="SimSun" w:cs="SimSun"/>
                <w:b/>
                <w:color w:val="000000"/>
                <w:sz w:val="24"/>
              </w:rPr>
              <w:t xml:space="preserve">a内部质量控制制度、b质控制度实施方案、c质控考核办法</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完全涵盖以上3项内容最多得6分；包含任意1项最多得2分。 </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1、方案完整详尽，专业性、可行性强，考虑周全，思路特别清晰，符合项目需求，得2分；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2、对项目执行有一定认识，方案较为完整，思路基本清晰，基本符合项目需求，得1分；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根据各投标人针对本项目拟定的应急维护方案（包括但不限于</w:t>
            </w:r>
            <w:r>
              <w:rPr>
                <w:rFonts w:ascii="SimSun" w:hAnsi="SimSun" w:eastAsia="SimSun" w:cs="SimSun"/>
                <w:b/>
                <w:color w:val="000000"/>
                <w:sz w:val="24"/>
              </w:rPr>
              <w:t xml:space="preserve">a应急目标及原则、b应急响应机制、c重大不良事故及应急场景临时解决方案</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完全涵盖以上3项内容最多得6分；包含任意1项最多得2分。 </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1、方案完整详尽，专业性、可行性强，考虑周全，思路特别清晰，符合项目需求，得2分；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2、对项目执行有一定认识，方案较为完整，思路基本清晰，基本符合项目需求，得1分；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由评委根据投标文件中提供所投服务的类似项目业绩情况进行评审：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投标人提供自2023年1月1日以来（以合同签字日期为准）对本项目同类货物（包含设备清单中台式电脑、打印机</w:t>
            </w:r>
            <w:r>
              <w:rPr>
                <w:rFonts w:ascii="SimSun" w:hAnsi="SimSun" w:eastAsia="SimSun" w:cs="SimSun"/>
                <w:color w:val="000000"/>
                <w:sz w:val="24"/>
                <w:u w:val="none"/>
              </w:rPr>
              <w:t xml:space="preserve">2种设备</w:t>
            </w:r>
            <w:r>
              <w:rPr>
                <w:rFonts w:ascii="SimSun" w:hAnsi="SimSun" w:eastAsia="SimSun" w:cs="SimSun"/>
                <w:color w:val="000000"/>
                <w:sz w:val="24"/>
              </w:rPr>
              <w:t xml:space="preserve">）进行服务的业绩，一份业绩为单一项目下同时包含本项目两种设备，或二份合同每种设备各一份，需提供完整有效合同及发票（复印件）。每提供一份业绩证明得3分，最高得9分，未提供或有缺漏的不得分。</w:t>
            </w:r>
            <w:r>
              <w:rPr>
                <w:rFonts w:ascii="SimSun" w:hAnsi="SimSun" w:eastAsia="SimSun" w:cs="SimSun"/>
                <w:b/>
                <w:color w:val="000000"/>
                <w:sz w:val="24"/>
              </w:rPr>
              <w:t xml:space="preserve">由投标人提供经营业绩情况说明列表，合同及发票对应内容包括采购方名称、维保设备名称或型号、服务期限、合同金额、签订时间等。同一采购方不重复计为多份业绩。</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投标人须确保所提供的发票真实有效，二维码及发票号码清晰可辨，所有发票均可通过国家税务总局全国增值税发票查验平台（网址：https://inv-veri.chinatax.gov.cn/）查验。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br w:type="page" w:clear="all"/>
      </w:r>
      <w:r/>
    </w:p>
    <w:p>
      <w:pPr>
        <w:pStyle w:val="75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第六章  投标文件格式</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  标  文  件</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rPr>
        <w:t xml:space="preserve">投标文件目录</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一、基本目录</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1.开标一览表（格式见附件1）</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2.投标分项报价表（格式见附件2）</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3.技术要求响应及偏离表（格式见附件3）</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4.商务要求响应及偏离表（格式见附件4）</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二、资格审查</w:t>
      </w:r>
      <w:r/>
    </w:p>
    <w:p>
      <w:pPr>
        <w:ind w:left="0" w:right="0" w:firstLine="56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1.投标人符合《政府采购法》第二十二条规定条件的证明材料（格式见附件5）</w:t>
      </w:r>
      <w:r/>
    </w:p>
    <w:p>
      <w:pPr>
        <w:ind w:left="0" w:right="0" w:firstLine="56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2.特定资格要求的证明文件（如果本项目对投标人做出特定资格要求的，必须提供）（格式见附件6）</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3.投标函（格式见附件7）</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4.中小微企业声明函（格式见附件8）、残疾人福利性单位声明函（格式见附件9）——如为专门面向中小企业采购的项目则必须提供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5.关于符合本国产品标准的声明函（格式见附件10）</w:t>
      </w:r>
      <w:r>
        <w:rPr>
          <w:rFonts w:ascii="SimSun" w:hAnsi="SimSun" w:eastAsia="SimSun" w:cs="SimSun"/>
          <w:color w:val="000000"/>
          <w:sz w:val="24"/>
          <w:u w:val="single"/>
        </w:rPr>
        <w:t xml:space="preserve">（本项目不适用）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上述“资格审查内容”中1、3条投标人必须在投标文件中提供相关材料，否则作无效投标处理；2条如招标文件要求必须提供相关材料而未提供的，作无效投标处理；4、5条根据政府采购优惠政策落实情况提供。</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三、符合性审查</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投标人必须对采购需求中的实质性要求逐条做出响应，并按照招标文件要求提供证明材料，否则做无效投标处理，详见第五章。</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四、价格扣除证明文件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1.中小微企业声明函（格式见附件8）</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2.残疾人福利性单位声明函（格式见附件9）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3.关于符合本国产品标准的声明函（格式见附件10）</w:t>
      </w:r>
      <w:r>
        <w:rPr>
          <w:rFonts w:ascii="SimSun" w:hAnsi="SimSun" w:eastAsia="SimSun" w:cs="SimSun"/>
          <w:color w:val="000000"/>
          <w:sz w:val="24"/>
          <w:u w:val="single"/>
        </w:rPr>
        <w:t xml:space="preserve">（本项目不适用）</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 开标一览表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开标一览表</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投标人全称（加盖CA电子签章）：</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5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w:t>
            </w:r>
            <w:r>
              <w:rPr>
                <w:rFonts w:ascii="Calibri" w:hAnsi="Calibri" w:eastAsia="Calibri" w:cs="Calibri"/>
                <w:color w:val="000000"/>
                <w:sz w:val="28"/>
              </w:rPr>
              <w:t xml:space="preserve">     </w:t>
            </w:r>
            <w:r>
              <w:rPr>
                <w:rFonts w:ascii="FangSong" w:hAnsi="FangSong" w:eastAsia="FangSong" w:cs="FangSong"/>
                <w:color w:val="000000"/>
                <w:sz w:val="28"/>
              </w:rPr>
              <w:t xml:space="preserve">                          （人民币：           元）</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备注：本表格式以苏彩云系统内表格为准。</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 投标分项报价表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投标分项报价表</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815"/>
        <w:gridCol w:w="1559"/>
        <w:gridCol w:w="846"/>
        <w:gridCol w:w="1418"/>
        <w:gridCol w:w="1559"/>
        <w:gridCol w:w="1559"/>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2"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SimSun" w:hAnsi="SimSun" w:eastAsia="SimSun" w:cs="SimSun"/>
                <w:color w:val="000000"/>
                <w:sz w:val="24"/>
                <w:u w:val="single"/>
              </w:rPr>
              <w:t xml:space="preserve">  （本项目不适用）  </w:t>
            </w:r>
            <w:r>
              <w:rPr>
                <w:rFonts w:ascii="SimSun" w:hAnsi="SimSun" w:eastAsia="SimSun" w:cs="SimSun"/>
                <w:color w:val="000000"/>
                <w:sz w:val="24"/>
              </w:rPr>
              <w:t xml:space="preserve">%。</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480" w:right="0" w:firstLine="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报价采用总承包方式，“投标总报价”应包括采购人需求的服务（包含与服务相关的货物）价格、培训费用等，项目在指定地点、环境交付、安装、调试、验收所需费用和所有相关税金费用及为完成整个项目所产生的其它所有费用，招标文件另有规定的除外。</w:t>
      </w:r>
      <w:r/>
    </w:p>
    <w:p>
      <w:pPr>
        <w:ind w:left="480" w:right="0" w:firstLine="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2.“投标分项报价表”中“投标总报价”数额应当与“开标一览表”中“投标总报价”数额一致。</w:t>
      </w:r>
      <w:r/>
    </w:p>
    <w:p>
      <w:pPr>
        <w:ind w:left="480" w:right="0" w:firstLine="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3.项目经办人可以根据项目实际需要对表格结构进行调整。</w:t>
      </w:r>
      <w:r/>
    </w:p>
    <w:p>
      <w:pPr>
        <w:ind w:left="480" w:right="0" w:firstLine="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采购包中含有多种产品（货物项目和服务项目中涉及的货物）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5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附件3 技术要求响应及偏离表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技术要求响应及偏离表</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附件3-1  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1.投标人需对《第四章 采购需求》二、技术要求逐条做出明确响应。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附件4 商务要求响应及偏离表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商务要求响应及偏离表</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附件4-1  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1.投标人需对商务要求逐条做出明确响应。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5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附件5投标人符合《政府采购法》第二十二条规定条件的证明材料</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一、具有独立承担民事责任的能力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二、具有良好的商业信誉和健全的财务会计制度</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度的财务状况报告（2025年度经审计的财务报告，或投标截止时间前六个月内任一月份企业编制的会计报表（至少包括资产负债表和利润表），或投标截止时间前六个月内银行出具的资信证明，复印件加盖公章），成立不满一年无需提供</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三、有依法缴纳税收和社会保障资金的良好记录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依法纳税凭据：提供参加政府采购活动前半年内（2026年1月-2026年6月）的任一月依法纳税的凭据，如完税凭证或税务机关开具的完税证明（个人所得税除外）；</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缴纳社会保险的凭据：提供参加政府采购活动前半年内（2026年1月-2026年6月）的任一月缴纳社会保险的凭据，如专用收据或社会保险缴纳清单；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依法免税或不需要缴纳社会保障资金的证明文件：如果供应商依法免税或不需要缴纳社会保障资金，则须提供相应的证明文件，以说明其免税或无需缴纳的依据和情况。</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四、具备履行合同所必需的设备和专业技术能力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40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我公司郑重声明：具有履行编号为</w:t>
      </w:r>
      <w:r>
        <w:rPr>
          <w:rFonts w:ascii="FangSong" w:hAnsi="FangSong" w:eastAsia="FangSong" w:cs="FangSong"/>
          <w:color w:val="000000"/>
          <w:sz w:val="28"/>
        </w:rPr>
        <w:t xml:space="preserve">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SimSun" w:hAnsi="SimSun" w:eastAsia="SimSun" w:cs="SimSun"/>
          <w:color w:val="000000"/>
          <w:sz w:val="24"/>
        </w:rPr>
        <w:t xml:space="preserve">项下采购项目合同的设备和专业技术能力。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五、参加政府采购活动前 3 年内在经营活动中没有重大违法记录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24"/>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br w:type="page" w:clear="all"/>
      </w:r>
      <w:r/>
    </w:p>
    <w:p>
      <w:pPr>
        <w:ind w:left="0" w:right="0" w:firstLine="424"/>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六、具备法律、行政法规规定的其他资格条件的声明</w:t>
      </w:r>
      <w:r/>
    </w:p>
    <w:p>
      <w:pPr>
        <w:ind w:left="0" w:right="0" w:firstLine="560"/>
        <w:jc w:val="center"/>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致：南通大学附属医院</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我公司郑重声明：我公司具有XXXXX项目（项目编号XXXXXX）法律、行政法规规定的其他资格条件。</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425"/>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附件6特定资格要求的证明文件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附件7投标函</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投标函</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致：江苏苏豪创新科技集团高科有限公司</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根据贵方的JSZC-320***-SHGK-*****-****号招标文件，正式授权下述签字人_____(姓名)代表我方_______（投标人的名称），全权处理本次项目投标的有关事宜。</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1.按招标文件规定的各项要求，向买方提供所需货物（包含与货物相关的服务）。</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2.我们完全理解贵方不一定将合同授予最低报价的投标人。</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3.我们已详细审核全部招标文件及其有效补充文件，我们知道必须放弃提出含糊不清或误解问题的权利。</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4.我们同意从规定的开标日期起遵循本投标文件，并在规定的投标有效期期满之前均具有约束力。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5.同意向贵方提供贵方可能另外要求的与投标有关的任何证据或资料，并保证我方已提供和将要提供的文件是真实的、准确的。</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6.一旦我方中标,我方将根据招标文件的规定，严格履行合同的责任和义务,并保证在招标文件规定的时间完成项目，交付买方验收、使用。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7.与本投标有关的正式通讯地址为：</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         编：</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         真：</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投标人开户行：</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 </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附件8 中小微企业声明函</w:t>
      </w:r>
      <w:r/>
    </w:p>
    <w:p>
      <w:pPr>
        <w:ind w:left="0" w:right="0" w:firstLine="28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中小企业声明函（服务类项目）</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本公司（联合体）郑重声明，根据《政府采购促进中小企业发展管理办法》(财库[2020]46号)的规定，本公司（联合体）参加江苏苏豪创新科技集团高科有限公司组织的（单位名称）采购编号为JSZC-320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，（项目名称）（分包号：</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color w:val="000000"/>
          <w:sz w:val="28"/>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（□中型企业 □小型企业 □微型企业）；</w:t>
      </w:r>
      <w:r/>
    </w:p>
    <w:p>
      <w:pPr>
        <w:ind w:left="0" w:right="0" w:firstLine="360"/>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color w:val="000000"/>
          <w:sz w:val="28"/>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（□中型企业 □小型企业 □微型企业）；</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72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180" w:firstLine="420"/>
        <w:jc w:val="right"/>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企业名称（加盖CA电子公章）：</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w:t>
      </w:r>
      <w:r>
        <w:rPr>
          <w:rFonts w:ascii="Calibri" w:hAnsi="Calibri" w:eastAsia="Calibri" w:cs="Calibri"/>
          <w:color w:val="000000"/>
          <w:sz w:val="28"/>
        </w:rPr>
        <w:t xml:space="preserve"> </w:t>
      </w:r>
      <w:r>
        <w:rPr>
          <w:rFonts w:ascii="FangSong" w:hAnsi="FangSong" w:eastAsia="FangSong" w:cs="FangSong"/>
          <w:color w:val="000000"/>
          <w:sz w:val="28"/>
        </w:rPr>
        <w:t xml:space="preserve"> 期：</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1.从业人员、营业收入、资产总额填报上一年度数据，无上一年度数据的新成立企业可不填报。</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2.专门面向中小企业采购的项目，供应商如不提供此声明函，则不能通过资格审查；非专门面向中小企业采购的项目，供应商如不提供此声明函，价格将不做相应扣除。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3.供应商自行勾选企业规模类型。</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附件9 残疾人福利性单位声明函</w:t>
      </w:r>
      <w:r/>
    </w:p>
    <w:p>
      <w:pPr>
        <w:ind w:left="561" w:right="0" w:hanging="14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残疾人福利性单位声明函（服务类项目）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项目采购活动提由本单位提供服务。</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1.专门面向中小微型企业采购的项目，供应商为残疾人福利性单位并提供服务的必须提供此声明函，否则将不能通过资格审查。</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2.非专门面向中小微型企业采购的项目，供应商如不提供此声明函，价格将不做相应扣除。</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3.中标/成交供应商为残疾人福利性单位的，此声明函将随中标/成交结果同时公告，接受社会监督。</w:t>
      </w:r>
      <w:r>
        <w:rPr>
          <w:rFonts w:ascii="Calibri" w:hAnsi="Calibri" w:eastAsia="Calibri" w:cs="Calibri"/>
          <w:color w:val="000000"/>
          <w:spacing w:val="6"/>
          <w:sz w:val="28"/>
        </w:rPr>
        <w:t xml:space="preserve"> </w:t>
      </w:r>
      <w:r/>
    </w:p>
    <w:p>
      <w:pPr>
        <w:ind w:left="0" w:right="873" w:firstLine="584"/>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供应商全称（加盖CA电子章）：</w:t>
      </w:r>
      <w:r/>
    </w:p>
    <w:p>
      <w:pPr>
        <w:ind w:left="0" w:right="1559" w:firstLine="560"/>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日</w:t>
      </w:r>
      <w:r>
        <w:rPr>
          <w:rFonts w:ascii="Calibri" w:hAnsi="Calibri" w:eastAsia="Calibri" w:cs="Calibri"/>
          <w:color w:val="000000"/>
          <w:sz w:val="28"/>
        </w:rPr>
        <w:t xml:space="preserve"> </w:t>
      </w:r>
      <w:r>
        <w:rPr>
          <w:rFonts w:ascii="FangSong" w:hAnsi="FangSong" w:eastAsia="FangSong" w:cs="FangSong"/>
          <w:color w:val="000000"/>
          <w:sz w:val="28"/>
        </w:rPr>
        <w:t xml:space="preserve"> 期：</w:t>
      </w:r>
      <w:r/>
    </w:p>
    <w:p>
      <w:pPr>
        <w:ind w:left="0" w:right="1559" w:firstLine="560"/>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0" w:line="276"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附件10 关于符合本国产品标准的声明函（如适用）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95294"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08862"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0025" cy="1047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81080" name=""/>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524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17148"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047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9187" name=""/>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951194" name=""/>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238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202195" name=""/>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549290"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524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77570" name=""/>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74607" name=""/>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952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07495" name=""/>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8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9135"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62761"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002768"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01015"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333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13479" name=""/>
                        <pic:cNvPicPr>
                          <a:picLocks noChangeAspect="1"/>
                        </pic:cNvPicPr>
                        <pic:nvPr/>
                      </pic:nvPicPr>
                      <pic:blipFill>
                        <a:blip/>
                        <a:stretch/>
                      </pic:blipFill>
                      <pic:spPr bwMode="auto">
                        <a:xfrm>
                          <a:off x="0" y="0"/>
                          <a:ext cx="83819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10.5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附件11 实质性要求响应及偏离表</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实质性要求响应及偏离表</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9"/>
        <w:gridCol w:w="3876"/>
        <w:gridCol w:w="2835"/>
        <w:gridCol w:w="17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1.投标人必须对技术要求和商务要求中的实质性要求逐条做出明确响应，否则作无效投标处理。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2.如果招标文件要求提供证明材料，投标人必须将证明材料列于该表之下。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3.投标人未对实质性要求逐条作出明确响应的，或未按招标文件要求提供证明材料的，该分包作无效投标处理。</w:t>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附件12 授权委托书（如有）</w:t>
      </w:r>
      <w:r/>
    </w:p>
    <w:p>
      <w:pPr>
        <w:ind w:left="0" w:right="0" w:firstLine="480"/>
        <w:jc w:val="center"/>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本授权书声明：____________（投标人名称）授权_____________（授权代表的姓名）为我方就JSZC-320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号项目采购活动的合法代理人，以本单位名义全权处理一切与该项目采购有关的事务。</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本授权书于______年____月____日起生效，特此声明。</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授权代表姓名：</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授权代表身份证号码：</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授权代表联系电话：（手机）</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（加盖CA电子公章）</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(1)本授权委托书之后需附上授权代表身份证复印件。</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(2)如果投标人有法定代表人且由其直接参与投标的可以不提供，但必须在营业执照后附法定代表人身份证复印件。</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(3)未按上述规定随附身份证复印件的，投标无效。</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5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附件13 相关业绩案例一览表（如有）</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供货设备清单</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业主名称</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bl>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说明：</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1.投标人须提供上述业绩合同复印件；</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2.所有合同复印件应清晰，应能体现合同签订时间、双方签名盖章等内容；</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3.投标人应在不涉及商业秘密的前提下尽可能提供详细的合同复印件内容。</w:t>
      </w:r>
      <w:r/>
    </w:p>
    <w:p>
      <w:pPr>
        <w:jc w:val="both"/>
        <w:spacing w:line="68"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highlight w:val="none"/>
        </w:rPr>
      </w:r>
      <w:r/>
    </w:p>
    <w:sectPr>
      <w:headerReference w:type="default" r:id="rId9"/>
      <w:footerReference w:type="default" r:id="rId10"/>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YouYuan">
    <w:panose1 w:val="02010509060101010101"/>
  </w:font>
  <w:font w:name="FangSong">
    <w:panose1 w:val="02010609060101010101"/>
  </w:font>
  <w:font w:name="SimHei">
    <w:panose1 w:val="02010609060101010101"/>
  </w:font>
  <w:font w:name="Symbol">
    <w:panose1 w:val="05050102010706020507"/>
  </w:font>
  <w:font w:name="KaiTi">
    <w:panose1 w:val="02010609060101010101"/>
  </w:font>
  <w:font w:name="Wingdings">
    <w:panose1 w:val="05000000000000000000"/>
  </w:font>
  <w:font w:name="Courier New">
    <w:panose1 w:val="02070309020205020404"/>
  </w:font>
  <w:font w:name="Calibri">
    <w:panose1 w:val="020F0502020204030204"/>
  </w:font>
  <w:font w:name="SimSun">
    <w:panose1 w:val="02010600030101010101"/>
  </w:font>
  <w:font w:name="宋体">
    <w:panose1 w:val="02010600030101010101"/>
  </w:font>
  <w:font w:name="Cambria">
    <w:panose1 w:val="02040503050406030204"/>
  </w:font>
  <w:font w:name="黑体">
    <w:panose1 w:val="02010609060101010101"/>
  </w:font>
  <w:font w:name="楷体_GB2312">
    <w:panose1 w:val="02010609060101010101"/>
  </w:font>
  <w:font w:name="Arial">
    <w:panose1 w:val="020B0604020202020204"/>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75"/>
          <w:jc w:val="center"/>
        </w:pPr>
        <w:r>
          <w:fldChar w:fldCharType="begin"/>
        </w:r>
        <w:r>
          <w:instrText xml:space="preserve">PAGE   \* MERGEFORMAT</w:instrText>
        </w:r>
        <w:r>
          <w:fldChar w:fldCharType="separate"/>
        </w:r>
        <w:r>
          <w:rPr>
            <w:lang w:val="zh-CN"/>
          </w:rPr>
          <w:t xml:space="preserve">52</w:t>
        </w:r>
        <w:r>
          <w:rPr>
            <w:lang w:val="zh-CN"/>
          </w:rPr>
          <w:fldChar w:fldCharType="end"/>
        </w:r>
        <w:r/>
      </w:p>
    </w:sdtContent>
  </w:sdt>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4"/>
      </w:pBdr>
    </w:pPr>
    <w:r>
      <w:rPr>
        <w:rFonts w:hint="eastAsia" w:ascii="宋体" w:hAnsi="宋体" w:cs="宋体"/>
        <w:bCs/>
      </w:rPr>
      <w:t xml:space="preserve">江苏苏豪创新科技集团高科有限公司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40" w:hanging="440"/>
      </w:pPr>
    </w:lvl>
    <w:lvl w:ilvl="1">
      <w:start w:val="1"/>
      <w:numFmt w:val="decimal"/>
      <w:isLgl w:val="false"/>
      <w:suff w:val="tab"/>
      <w:lvlText w:val="（%2）"/>
      <w:lvlJc w:val="left"/>
      <w:pPr>
        <w:ind w:left="1160" w:hanging="720"/>
      </w:pPr>
      <w:rPr>
        <w:rFonts w:hint="default" w:cs="Arial"/>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第%1章"/>
      <w:lvlJc w:val="left"/>
      <w:pPr>
        <w:ind w:left="1840" w:hanging="144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next w:val="765"/>
    <w:qFormat/>
    <w:pPr>
      <w:spacing w:after="160" w:line="278" w:lineRule="auto"/>
    </w:pPr>
  </w:style>
  <w:style w:type="paragraph" w:styleId="753">
    <w:name w:val="Heading 1"/>
    <w:basedOn w:val="752"/>
    <w:next w:val="752"/>
    <w:link w:val="830"/>
    <w:uiPriority w:val="9"/>
    <w:qFormat/>
    <w:pPr>
      <w:keepLines/>
      <w:keepNext/>
      <w:spacing w:before="480" w:after="200"/>
      <w:outlineLvl w:val="0"/>
    </w:pPr>
    <w:rPr>
      <w:rFonts w:ascii="Arial" w:hAnsi="Arial" w:eastAsia="Arial" w:cs="Arial"/>
      <w:sz w:val="40"/>
      <w:szCs w:val="40"/>
    </w:rPr>
  </w:style>
  <w:style w:type="paragraph" w:styleId="754">
    <w:name w:val="Heading 2"/>
    <w:next w:val="752"/>
    <w:link w:val="831"/>
    <w:unhideWhenUsed/>
    <w:qFormat/>
    <w:pPr>
      <w:keepLines/>
      <w:keepNext/>
      <w:spacing w:before="360" w:after="200" w:line="278" w:lineRule="auto"/>
      <w:outlineLvl w:val="1"/>
    </w:pPr>
    <w:rPr>
      <w:rFonts w:ascii="Arial" w:hAnsi="Arial" w:eastAsia="Arial" w:cs="Arial"/>
      <w:sz w:val="34"/>
    </w:rPr>
  </w:style>
  <w:style w:type="paragraph" w:styleId="755">
    <w:name w:val="Heading 3"/>
    <w:next w:val="752"/>
    <w:link w:val="832"/>
    <w:uiPriority w:val="9"/>
    <w:unhideWhenUsed/>
    <w:qFormat/>
    <w:pPr>
      <w:keepLines/>
      <w:keepNext/>
      <w:spacing w:before="320" w:after="200" w:line="278" w:lineRule="auto"/>
      <w:outlineLvl w:val="2"/>
    </w:pPr>
    <w:rPr>
      <w:rFonts w:ascii="Arial" w:hAnsi="Arial" w:eastAsia="Arial" w:cs="Arial"/>
      <w:sz w:val="30"/>
      <w:szCs w:val="30"/>
    </w:rPr>
  </w:style>
  <w:style w:type="paragraph" w:styleId="756">
    <w:name w:val="Heading 4"/>
    <w:next w:val="752"/>
    <w:link w:val="833"/>
    <w:uiPriority w:val="9"/>
    <w:unhideWhenUsed/>
    <w:qFormat/>
    <w:pPr>
      <w:keepLines/>
      <w:keepNext/>
      <w:spacing w:before="320" w:after="200" w:line="278" w:lineRule="auto"/>
      <w:outlineLvl w:val="3"/>
    </w:pPr>
    <w:rPr>
      <w:rFonts w:ascii="Arial" w:hAnsi="Arial" w:eastAsia="Arial" w:cs="Arial"/>
      <w:b/>
      <w:bCs/>
      <w:sz w:val="26"/>
      <w:szCs w:val="26"/>
    </w:rPr>
  </w:style>
  <w:style w:type="paragraph" w:styleId="757">
    <w:name w:val="Heading 5"/>
    <w:next w:val="752"/>
    <w:link w:val="834"/>
    <w:uiPriority w:val="9"/>
    <w:unhideWhenUsed/>
    <w:qFormat/>
    <w:pPr>
      <w:keepLines/>
      <w:keepNext/>
      <w:spacing w:before="320" w:after="200" w:line="278" w:lineRule="auto"/>
      <w:outlineLvl w:val="4"/>
    </w:pPr>
    <w:rPr>
      <w:rFonts w:ascii="Arial" w:hAnsi="Arial" w:eastAsia="Arial" w:cs="Arial"/>
      <w:b/>
      <w:bCs/>
      <w:sz w:val="24"/>
      <w:szCs w:val="24"/>
    </w:rPr>
  </w:style>
  <w:style w:type="paragraph" w:styleId="758">
    <w:name w:val="Heading 6"/>
    <w:next w:val="752"/>
    <w:link w:val="835"/>
    <w:uiPriority w:val="9"/>
    <w:unhideWhenUsed/>
    <w:qFormat/>
    <w:pPr>
      <w:keepLines/>
      <w:keepNext/>
      <w:spacing w:before="320" w:after="200" w:line="278" w:lineRule="auto"/>
      <w:outlineLvl w:val="5"/>
    </w:pPr>
    <w:rPr>
      <w:rFonts w:ascii="Arial" w:hAnsi="Arial" w:eastAsia="Arial" w:cs="Arial"/>
      <w:b/>
      <w:bCs/>
      <w:sz w:val="22"/>
      <w:szCs w:val="22"/>
    </w:rPr>
  </w:style>
  <w:style w:type="paragraph" w:styleId="759">
    <w:name w:val="Heading 7"/>
    <w:next w:val="752"/>
    <w:link w:val="836"/>
    <w:uiPriority w:val="9"/>
    <w:unhideWhenUsed/>
    <w:qFormat/>
    <w:pPr>
      <w:keepLines/>
      <w:keepNext/>
      <w:spacing w:before="320" w:after="200" w:line="278" w:lineRule="auto"/>
      <w:outlineLvl w:val="6"/>
    </w:pPr>
    <w:rPr>
      <w:rFonts w:ascii="Arial" w:hAnsi="Arial" w:eastAsia="Arial" w:cs="Arial"/>
      <w:b/>
      <w:bCs/>
      <w:i/>
      <w:iCs/>
      <w:sz w:val="22"/>
      <w:szCs w:val="22"/>
    </w:rPr>
  </w:style>
  <w:style w:type="paragraph" w:styleId="760">
    <w:name w:val="Heading 8"/>
    <w:next w:val="752"/>
    <w:link w:val="837"/>
    <w:uiPriority w:val="9"/>
    <w:unhideWhenUsed/>
    <w:qFormat/>
    <w:pPr>
      <w:keepLines/>
      <w:keepNext/>
      <w:spacing w:before="320" w:after="200" w:line="278" w:lineRule="auto"/>
      <w:outlineLvl w:val="7"/>
    </w:pPr>
    <w:rPr>
      <w:rFonts w:ascii="Arial" w:hAnsi="Arial" w:eastAsia="Arial" w:cs="Arial"/>
      <w:i/>
      <w:iCs/>
      <w:sz w:val="22"/>
      <w:szCs w:val="22"/>
    </w:rPr>
  </w:style>
  <w:style w:type="paragraph" w:styleId="761">
    <w:name w:val="Heading 9"/>
    <w:next w:val="752"/>
    <w:link w:val="838"/>
    <w:uiPriority w:val="9"/>
    <w:unhideWhenUsed/>
    <w:qFormat/>
    <w:pPr>
      <w:keepLines/>
      <w:keepNext/>
      <w:spacing w:before="320" w:after="200" w:line="278" w:lineRule="auto"/>
      <w:outlineLvl w:val="8"/>
    </w:pPr>
    <w:rPr>
      <w:rFonts w:ascii="Arial" w:hAnsi="Arial" w:eastAsia="Arial" w:cs="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Body Text"/>
    <w:basedOn w:val="752"/>
    <w:next w:val="752"/>
    <w:qFormat/>
    <w:rPr>
      <w:rFonts w:ascii="楷体_GB2312" w:hAnsi="Arial" w:eastAsia="楷体_GB2312"/>
      <w:sz w:val="28"/>
      <w:szCs w:val="28"/>
    </w:rPr>
  </w:style>
  <w:style w:type="paragraph" w:styleId="766">
    <w:name w:val="toc 7"/>
    <w:next w:val="752"/>
    <w:uiPriority w:val="39"/>
    <w:unhideWhenUsed/>
    <w:qFormat/>
    <w:pPr>
      <w:ind w:left="1701"/>
      <w:spacing w:after="57" w:line="278" w:lineRule="auto"/>
    </w:pPr>
  </w:style>
  <w:style w:type="paragraph" w:styleId="767">
    <w:name w:val="Caption"/>
    <w:next w:val="752"/>
    <w:uiPriority w:val="35"/>
    <w:semiHidden/>
    <w:unhideWhenUsed/>
    <w:qFormat/>
    <w:pPr>
      <w:spacing w:after="160" w:line="276" w:lineRule="auto"/>
    </w:pPr>
    <w:rPr>
      <w:b/>
      <w:bCs/>
      <w:color w:val="4f81bd" w:themeColor="accent1"/>
      <w:sz w:val="18"/>
      <w:szCs w:val="18"/>
    </w:rPr>
  </w:style>
  <w:style w:type="paragraph" w:styleId="768">
    <w:name w:val="toa heading"/>
    <w:basedOn w:val="752"/>
    <w:next w:val="752"/>
    <w:qFormat/>
    <w:pPr>
      <w:jc w:val="center"/>
      <w:spacing w:before="200" w:after="0" w:line="360" w:lineRule="atLeast"/>
    </w:pPr>
    <w:rPr>
      <w:rFonts w:ascii="Arial" w:hAnsi="Arial" w:eastAsia="黑体" w:cs="Arial"/>
      <w:color w:val="000000"/>
      <w:sz w:val="44"/>
      <w:lang w:eastAsia="en-US"/>
    </w:rPr>
  </w:style>
  <w:style w:type="paragraph" w:styleId="769">
    <w:name w:val="annotation text"/>
    <w:basedOn w:val="752"/>
    <w:link w:val="960"/>
    <w:unhideWhenUsed/>
    <w:qFormat/>
  </w:style>
  <w:style w:type="paragraph" w:styleId="770">
    <w:name w:val="toc 5"/>
    <w:next w:val="752"/>
    <w:uiPriority w:val="39"/>
    <w:unhideWhenUsed/>
    <w:qFormat/>
    <w:pPr>
      <w:ind w:left="1134"/>
      <w:spacing w:after="57" w:line="278" w:lineRule="auto"/>
    </w:pPr>
  </w:style>
  <w:style w:type="paragraph" w:styleId="771">
    <w:name w:val="toc 3"/>
    <w:next w:val="752"/>
    <w:uiPriority w:val="39"/>
    <w:unhideWhenUsed/>
    <w:qFormat/>
    <w:pPr>
      <w:ind w:left="567"/>
      <w:spacing w:after="57" w:line="278" w:lineRule="auto"/>
    </w:pPr>
  </w:style>
  <w:style w:type="paragraph" w:styleId="772">
    <w:name w:val="toc 8"/>
    <w:next w:val="752"/>
    <w:uiPriority w:val="39"/>
    <w:unhideWhenUsed/>
    <w:qFormat/>
    <w:pPr>
      <w:ind w:left="1984"/>
      <w:spacing w:after="57" w:line="278" w:lineRule="auto"/>
    </w:pPr>
  </w:style>
  <w:style w:type="paragraph" w:styleId="773">
    <w:name w:val="endnote text"/>
    <w:link w:val="957"/>
    <w:uiPriority w:val="99"/>
    <w:semiHidden/>
    <w:unhideWhenUsed/>
    <w:qFormat/>
    <w:pPr>
      <w:spacing w:after="160" w:line="278" w:lineRule="auto"/>
    </w:pPr>
  </w:style>
  <w:style w:type="paragraph" w:styleId="774">
    <w:name w:val="Balloon Text"/>
    <w:basedOn w:val="752"/>
    <w:link w:val="962"/>
    <w:uiPriority w:val="99"/>
    <w:semiHidden/>
    <w:unhideWhenUsed/>
    <w:qFormat/>
    <w:rPr>
      <w:sz w:val="18"/>
      <w:szCs w:val="18"/>
    </w:rPr>
  </w:style>
  <w:style w:type="paragraph" w:styleId="775">
    <w:name w:val="Footer"/>
    <w:basedOn w:val="752"/>
    <w:link w:val="849"/>
    <w:uiPriority w:val="99"/>
    <w:unhideWhenUsed/>
    <w:qFormat/>
    <w:pPr>
      <w:tabs>
        <w:tab w:val="center" w:pos="7143" w:leader="none"/>
        <w:tab w:val="right" w:pos="14287" w:leader="none"/>
      </w:tabs>
    </w:pPr>
  </w:style>
  <w:style w:type="paragraph" w:styleId="776">
    <w:name w:val="Header"/>
    <w:basedOn w:val="752"/>
    <w:link w:val="847"/>
    <w:uiPriority w:val="99"/>
    <w:unhideWhenUsed/>
    <w:qFormat/>
    <w:pPr>
      <w:tabs>
        <w:tab w:val="center" w:pos="7143" w:leader="none"/>
        <w:tab w:val="right" w:pos="14287" w:leader="none"/>
      </w:tabs>
    </w:pPr>
  </w:style>
  <w:style w:type="paragraph" w:styleId="777">
    <w:name w:val="toc 1"/>
    <w:next w:val="752"/>
    <w:uiPriority w:val="39"/>
    <w:unhideWhenUsed/>
    <w:qFormat/>
    <w:pPr>
      <w:spacing w:after="57" w:line="278" w:lineRule="auto"/>
    </w:pPr>
  </w:style>
  <w:style w:type="paragraph" w:styleId="778">
    <w:name w:val="toc 4"/>
    <w:next w:val="752"/>
    <w:uiPriority w:val="39"/>
    <w:unhideWhenUsed/>
    <w:qFormat/>
    <w:pPr>
      <w:ind w:left="850"/>
      <w:spacing w:after="57" w:line="278" w:lineRule="auto"/>
    </w:pPr>
  </w:style>
  <w:style w:type="paragraph" w:styleId="779">
    <w:name w:val="Subtitle"/>
    <w:link w:val="842"/>
    <w:uiPriority w:val="11"/>
    <w:qFormat/>
    <w:pPr>
      <w:spacing w:before="200" w:after="200" w:line="278" w:lineRule="auto"/>
    </w:pPr>
    <w:rPr>
      <w:sz w:val="24"/>
      <w:szCs w:val="24"/>
    </w:rPr>
  </w:style>
  <w:style w:type="paragraph" w:styleId="780">
    <w:name w:val="footnote text"/>
    <w:link w:val="956"/>
    <w:unhideWhenUsed/>
    <w:qFormat/>
    <w:pPr>
      <w:spacing w:after="40" w:line="278" w:lineRule="auto"/>
    </w:pPr>
    <w:rPr>
      <w:sz w:val="18"/>
    </w:rPr>
  </w:style>
  <w:style w:type="paragraph" w:styleId="781">
    <w:name w:val="toc 6"/>
    <w:next w:val="752"/>
    <w:uiPriority w:val="39"/>
    <w:unhideWhenUsed/>
    <w:qFormat/>
    <w:pPr>
      <w:ind w:left="1417"/>
      <w:spacing w:after="57" w:line="278" w:lineRule="auto"/>
    </w:pPr>
  </w:style>
  <w:style w:type="paragraph" w:styleId="782">
    <w:name w:val="table of figures"/>
    <w:next w:val="752"/>
    <w:uiPriority w:val="99"/>
    <w:unhideWhenUsed/>
    <w:qFormat/>
    <w:pPr>
      <w:spacing w:after="160" w:line="278" w:lineRule="auto"/>
    </w:pPr>
  </w:style>
  <w:style w:type="paragraph" w:styleId="783">
    <w:name w:val="toc 2"/>
    <w:next w:val="752"/>
    <w:uiPriority w:val="39"/>
    <w:unhideWhenUsed/>
    <w:qFormat/>
    <w:pPr>
      <w:ind w:left="283"/>
      <w:spacing w:after="57" w:line="278" w:lineRule="auto"/>
    </w:pPr>
  </w:style>
  <w:style w:type="paragraph" w:styleId="784">
    <w:name w:val="toc 9"/>
    <w:next w:val="752"/>
    <w:uiPriority w:val="39"/>
    <w:unhideWhenUsed/>
    <w:qFormat/>
    <w:pPr>
      <w:ind w:left="2268"/>
      <w:spacing w:after="57" w:line="278" w:lineRule="auto"/>
    </w:pPr>
  </w:style>
  <w:style w:type="paragraph" w:styleId="785">
    <w:name w:val="Title"/>
    <w:link w:val="841"/>
    <w:uiPriority w:val="10"/>
    <w:qFormat/>
    <w:pPr>
      <w:contextualSpacing/>
      <w:spacing w:before="300" w:after="200" w:line="278" w:lineRule="auto"/>
    </w:pPr>
    <w:rPr>
      <w:sz w:val="48"/>
      <w:szCs w:val="48"/>
    </w:rPr>
  </w:style>
  <w:style w:type="paragraph" w:styleId="786">
    <w:name w:val="annotation subject"/>
    <w:basedOn w:val="769"/>
    <w:next w:val="769"/>
    <w:link w:val="961"/>
    <w:uiPriority w:val="99"/>
    <w:semiHidden/>
    <w:unhideWhenUsed/>
    <w:qFormat/>
    <w:rPr>
      <w:b/>
      <w:bCs/>
    </w:rPr>
  </w:style>
  <w:style w:type="paragraph" w:styleId="787">
    <w:name w:val="Body Text First Indent"/>
    <w:basedOn w:val="765"/>
    <w:qFormat/>
    <w:pPr>
      <w:ind w:firstLine="420"/>
      <w:spacing w:after="120"/>
    </w:pPr>
    <w:rPr>
      <w:sz w:val="21"/>
      <w:szCs w:val="24"/>
      <w:lang w:val="zh-CN"/>
    </w:rPr>
  </w:style>
  <w:style w:type="table" w:styleId="788">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rPr>
  </w:style>
  <w:style w:type="character" w:styleId="791">
    <w:name w:val="annotation reference"/>
    <w:basedOn w:val="762"/>
    <w:unhideWhenUsed/>
    <w:qFormat/>
    <w:rPr>
      <w:sz w:val="21"/>
      <w:szCs w:val="21"/>
    </w:rPr>
  </w:style>
  <w:style w:type="character" w:styleId="792">
    <w:name w:val="footnote reference"/>
    <w:uiPriority w:val="99"/>
    <w:unhideWhenUsed/>
    <w:qFormat/>
    <w:rPr>
      <w:vertAlign w:val="superscript"/>
    </w:rPr>
  </w:style>
  <w:style w:type="character" w:styleId="793" w:customStyle="1">
    <w:name w:val="Heading 1 Char"/>
    <w:basedOn w:val="762"/>
    <w:uiPriority w:val="9"/>
    <w:qFormat/>
    <w:rPr>
      <w:rFonts w:ascii="Arial" w:hAnsi="Arial" w:eastAsia="Arial" w:cs="Arial"/>
      <w:sz w:val="40"/>
      <w:szCs w:val="40"/>
    </w:rPr>
  </w:style>
  <w:style w:type="character" w:styleId="794" w:customStyle="1">
    <w:name w:val="Heading 2 Char"/>
    <w:basedOn w:val="762"/>
    <w:uiPriority w:val="9"/>
    <w:qFormat/>
    <w:rPr>
      <w:rFonts w:ascii="Arial" w:hAnsi="Arial" w:eastAsia="Arial" w:cs="Arial"/>
      <w:sz w:val="34"/>
    </w:rPr>
  </w:style>
  <w:style w:type="character" w:styleId="795" w:customStyle="1">
    <w:name w:val="Heading 3 Char"/>
    <w:basedOn w:val="762"/>
    <w:uiPriority w:val="9"/>
    <w:qFormat/>
    <w:rPr>
      <w:rFonts w:ascii="Arial" w:hAnsi="Arial" w:eastAsia="Arial" w:cs="Arial"/>
      <w:sz w:val="30"/>
      <w:szCs w:val="30"/>
    </w:rPr>
  </w:style>
  <w:style w:type="character" w:styleId="796" w:customStyle="1">
    <w:name w:val="Heading 4 Char"/>
    <w:basedOn w:val="762"/>
    <w:uiPriority w:val="9"/>
    <w:qFormat/>
    <w:rPr>
      <w:rFonts w:ascii="Arial" w:hAnsi="Arial" w:eastAsia="Arial" w:cs="Arial"/>
      <w:b/>
      <w:bCs/>
      <w:sz w:val="26"/>
      <w:szCs w:val="26"/>
    </w:rPr>
  </w:style>
  <w:style w:type="character" w:styleId="797" w:customStyle="1">
    <w:name w:val="Heading 5 Char"/>
    <w:basedOn w:val="762"/>
    <w:uiPriority w:val="9"/>
    <w:qFormat/>
    <w:rPr>
      <w:rFonts w:ascii="Arial" w:hAnsi="Arial" w:eastAsia="Arial" w:cs="Arial"/>
      <w:b/>
      <w:bCs/>
      <w:sz w:val="24"/>
      <w:szCs w:val="24"/>
    </w:rPr>
  </w:style>
  <w:style w:type="character" w:styleId="798" w:customStyle="1">
    <w:name w:val="Heading 6 Char"/>
    <w:basedOn w:val="762"/>
    <w:uiPriority w:val="9"/>
    <w:qFormat/>
    <w:rPr>
      <w:rFonts w:ascii="Arial" w:hAnsi="Arial" w:eastAsia="Arial" w:cs="Arial"/>
      <w:b/>
      <w:bCs/>
      <w:sz w:val="22"/>
      <w:szCs w:val="22"/>
    </w:rPr>
  </w:style>
  <w:style w:type="character" w:styleId="799" w:customStyle="1">
    <w:name w:val="Heading 7 Char"/>
    <w:basedOn w:val="762"/>
    <w:uiPriority w:val="9"/>
    <w:qFormat/>
    <w:rPr>
      <w:rFonts w:ascii="Arial" w:hAnsi="Arial" w:eastAsia="Arial" w:cs="Arial"/>
      <w:b/>
      <w:bCs/>
      <w:i/>
      <w:iCs/>
      <w:sz w:val="22"/>
      <w:szCs w:val="22"/>
    </w:rPr>
  </w:style>
  <w:style w:type="character" w:styleId="800" w:customStyle="1">
    <w:name w:val="Heading 8 Char"/>
    <w:basedOn w:val="762"/>
    <w:uiPriority w:val="9"/>
    <w:qFormat/>
    <w:rPr>
      <w:rFonts w:ascii="Arial" w:hAnsi="Arial" w:eastAsia="Arial" w:cs="Arial"/>
      <w:i/>
      <w:iCs/>
      <w:sz w:val="22"/>
      <w:szCs w:val="22"/>
    </w:rPr>
  </w:style>
  <w:style w:type="character" w:styleId="801" w:customStyle="1">
    <w:name w:val="Heading 9 Char"/>
    <w:basedOn w:val="762"/>
    <w:uiPriority w:val="9"/>
    <w:qFormat/>
    <w:rPr>
      <w:rFonts w:ascii="Arial" w:hAnsi="Arial" w:eastAsia="Arial" w:cs="Arial"/>
      <w:i/>
      <w:iCs/>
      <w:sz w:val="21"/>
      <w:szCs w:val="21"/>
    </w:rPr>
  </w:style>
  <w:style w:type="character" w:styleId="802" w:customStyle="1">
    <w:name w:val="Title Char"/>
    <w:basedOn w:val="762"/>
    <w:uiPriority w:val="10"/>
    <w:qFormat/>
    <w:rPr>
      <w:sz w:val="48"/>
      <w:szCs w:val="48"/>
    </w:rPr>
  </w:style>
  <w:style w:type="character" w:styleId="803" w:customStyle="1">
    <w:name w:val="Subtitle Char"/>
    <w:basedOn w:val="762"/>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er Char"/>
    <w:basedOn w:val="762"/>
    <w:uiPriority w:val="99"/>
    <w:qFormat/>
  </w:style>
  <w:style w:type="character" w:styleId="807" w:customStyle="1">
    <w:name w:val="Caption Char"/>
    <w:uiPriority w:val="99"/>
    <w:qFormat/>
  </w:style>
  <w:style w:type="table" w:styleId="808" w:customStyle="1">
    <w:name w:val="无格式表格 11"/>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6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6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6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9" w:customStyle="1">
    <w:name w:val="网格表 7 彩色1"/>
    <w:basedOn w:val="7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6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清单表 6 彩色1"/>
    <w:basedOn w:val="76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清单表 7 彩色1"/>
    <w:basedOn w:val="76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
    <w:uiPriority w:val="39"/>
    <w:unhideWhenUsed/>
    <w:qFormat/>
    <w:pPr>
      <w:spacing w:after="160" w:line="278" w:lineRule="auto"/>
    </w:pPr>
  </w:style>
  <w:style w:type="character" w:styleId="830" w:customStyle="1">
    <w:name w:val="标题 1 字符"/>
    <w:link w:val="753"/>
    <w:uiPriority w:val="9"/>
    <w:qFormat/>
    <w:rPr>
      <w:rFonts w:ascii="Arial" w:hAnsi="Arial" w:eastAsia="Arial" w:cs="Arial"/>
      <w:sz w:val="40"/>
      <w:szCs w:val="40"/>
    </w:rPr>
  </w:style>
  <w:style w:type="character" w:styleId="831" w:customStyle="1">
    <w:name w:val="标题 2 字符"/>
    <w:link w:val="754"/>
    <w:qFormat/>
    <w:rPr>
      <w:rFonts w:ascii="Arial" w:hAnsi="Arial" w:eastAsia="Arial" w:cs="Arial"/>
      <w:sz w:val="34"/>
    </w:rPr>
  </w:style>
  <w:style w:type="character" w:styleId="832" w:customStyle="1">
    <w:name w:val="标题 3 字符"/>
    <w:link w:val="755"/>
    <w:uiPriority w:val="9"/>
    <w:qFormat/>
    <w:rPr>
      <w:rFonts w:ascii="Arial" w:hAnsi="Arial" w:eastAsia="Arial" w:cs="Arial"/>
      <w:sz w:val="30"/>
      <w:szCs w:val="30"/>
    </w:rPr>
  </w:style>
  <w:style w:type="character" w:styleId="833" w:customStyle="1">
    <w:name w:val="标题 4 字符"/>
    <w:link w:val="756"/>
    <w:uiPriority w:val="9"/>
    <w:qFormat/>
    <w:rPr>
      <w:rFonts w:ascii="Arial" w:hAnsi="Arial" w:eastAsia="Arial" w:cs="Arial"/>
      <w:b/>
      <w:bCs/>
      <w:sz w:val="26"/>
      <w:szCs w:val="26"/>
    </w:rPr>
  </w:style>
  <w:style w:type="character" w:styleId="834" w:customStyle="1">
    <w:name w:val="标题 5 字符"/>
    <w:link w:val="757"/>
    <w:uiPriority w:val="9"/>
    <w:qFormat/>
    <w:rPr>
      <w:rFonts w:ascii="Arial" w:hAnsi="Arial" w:eastAsia="Arial" w:cs="Arial"/>
      <w:b/>
      <w:bCs/>
      <w:sz w:val="24"/>
      <w:szCs w:val="24"/>
    </w:rPr>
  </w:style>
  <w:style w:type="character" w:styleId="835" w:customStyle="1">
    <w:name w:val="标题 6 字符"/>
    <w:link w:val="758"/>
    <w:uiPriority w:val="9"/>
    <w:qFormat/>
    <w:rPr>
      <w:rFonts w:ascii="Arial" w:hAnsi="Arial" w:eastAsia="Arial" w:cs="Arial"/>
      <w:b/>
      <w:bCs/>
      <w:sz w:val="22"/>
      <w:szCs w:val="22"/>
    </w:rPr>
  </w:style>
  <w:style w:type="character" w:styleId="836" w:customStyle="1">
    <w:name w:val="标题 7 字符"/>
    <w:link w:val="759"/>
    <w:uiPriority w:val="9"/>
    <w:qFormat/>
    <w:rPr>
      <w:rFonts w:ascii="Arial" w:hAnsi="Arial" w:eastAsia="Arial" w:cs="Arial"/>
      <w:b/>
      <w:bCs/>
      <w:i/>
      <w:iCs/>
      <w:sz w:val="22"/>
      <w:szCs w:val="22"/>
    </w:rPr>
  </w:style>
  <w:style w:type="character" w:styleId="837" w:customStyle="1">
    <w:name w:val="标题 8 字符"/>
    <w:link w:val="760"/>
    <w:uiPriority w:val="9"/>
    <w:qFormat/>
    <w:rPr>
      <w:rFonts w:ascii="Arial" w:hAnsi="Arial" w:eastAsia="Arial" w:cs="Arial"/>
      <w:i/>
      <w:iCs/>
      <w:sz w:val="22"/>
      <w:szCs w:val="22"/>
    </w:rPr>
  </w:style>
  <w:style w:type="character" w:styleId="838" w:customStyle="1">
    <w:name w:val="标题 9 字符"/>
    <w:link w:val="761"/>
    <w:uiPriority w:val="9"/>
    <w:qFormat/>
    <w:rPr>
      <w:rFonts w:ascii="Arial" w:hAnsi="Arial" w:eastAsia="Arial" w:cs="Arial"/>
      <w:i/>
      <w:iCs/>
      <w:sz w:val="21"/>
      <w:szCs w:val="21"/>
    </w:rPr>
  </w:style>
  <w:style w:type="paragraph" w:styleId="839">
    <w:name w:val="List Paragraph"/>
    <w:uiPriority w:val="99"/>
    <w:qFormat/>
    <w:pPr>
      <w:contextualSpacing/>
      <w:ind w:left="720"/>
      <w:spacing w:after="160" w:line="278" w:lineRule="auto"/>
    </w:pPr>
  </w:style>
  <w:style w:type="paragraph" w:styleId="840">
    <w:name w:val="No Spacing"/>
    <w:uiPriority w:val="1"/>
    <w:qFormat/>
    <w:pPr>
      <w:spacing w:after="160" w:line="278" w:lineRule="auto"/>
    </w:pPr>
  </w:style>
  <w:style w:type="character" w:styleId="841" w:customStyle="1">
    <w:name w:val="标题 字符"/>
    <w:link w:val="785"/>
    <w:uiPriority w:val="10"/>
    <w:qFormat/>
    <w:rPr>
      <w:sz w:val="48"/>
      <w:szCs w:val="48"/>
    </w:rPr>
  </w:style>
  <w:style w:type="character" w:styleId="842" w:customStyle="1">
    <w:name w:val="副标题 字符"/>
    <w:link w:val="779"/>
    <w:uiPriority w:val="11"/>
    <w:qFormat/>
    <w:rPr>
      <w:sz w:val="24"/>
      <w:szCs w:val="24"/>
    </w:rPr>
  </w:style>
  <w:style w:type="paragraph" w:styleId="843">
    <w:name w:val="Quote"/>
    <w:link w:val="844"/>
    <w:uiPriority w:val="29"/>
    <w:qFormat/>
    <w:pPr>
      <w:ind w:left="720" w:right="720"/>
      <w:spacing w:after="160" w:line="278" w:lineRule="auto"/>
    </w:pPr>
    <w:rPr>
      <w:i/>
    </w:rPr>
  </w:style>
  <w:style w:type="character" w:styleId="844" w:customStyle="1">
    <w:name w:val="引用 字符"/>
    <w:link w:val="843"/>
    <w:uiPriority w:val="29"/>
    <w:qFormat/>
    <w:rPr>
      <w:i/>
    </w:rPr>
  </w:style>
  <w:style w:type="paragraph" w:styleId="845">
    <w:name w:val="Intense Quote"/>
    <w:link w:val="846"/>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页眉 字符"/>
    <w:link w:val="776"/>
    <w:uiPriority w:val="99"/>
    <w:qFormat/>
  </w:style>
  <w:style w:type="character" w:styleId="848" w:customStyle="1">
    <w:name w:val="Footer Char"/>
    <w:uiPriority w:val="99"/>
    <w:qFormat/>
  </w:style>
  <w:style w:type="character" w:styleId="849" w:customStyle="1">
    <w:name w:val="页脚 字符"/>
    <w:link w:val="775"/>
    <w:uiPriority w:val="99"/>
    <w:qFormat/>
  </w:style>
  <w:style w:type="table" w:styleId="85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字符"/>
    <w:link w:val="780"/>
    <w:qFormat/>
    <w:rPr>
      <w:sz w:val="18"/>
    </w:rPr>
  </w:style>
  <w:style w:type="character" w:styleId="957" w:customStyle="1">
    <w:name w:val="尾注文本 字符"/>
    <w:link w:val="773"/>
    <w:uiPriority w:val="99"/>
    <w:qFormat/>
    <w:rPr>
      <w:sz w:val="20"/>
    </w:rPr>
  </w:style>
  <w:style w:type="paragraph" w:styleId="958" w:customStyle="1">
    <w:name w:val="TOC 标题11"/>
    <w:uiPriority w:val="39"/>
    <w:unhideWhenUsed/>
    <w:qFormat/>
    <w:pPr>
      <w:spacing w:after="160" w:line="278" w:lineRule="auto"/>
    </w:pPr>
  </w:style>
  <w:style w:type="paragraph" w:styleId="959" w:customStyle="1">
    <w:name w:val="修订1"/>
    <w:hidden/>
    <w:uiPriority w:val="99"/>
    <w:semiHidden/>
    <w:qFormat/>
    <w:pPr>
      <w:spacing w:after="160" w:line="278" w:lineRule="auto"/>
    </w:pPr>
  </w:style>
  <w:style w:type="character" w:styleId="960" w:customStyle="1">
    <w:name w:val="批注文字 字符"/>
    <w:basedOn w:val="762"/>
    <w:link w:val="769"/>
    <w:qFormat/>
  </w:style>
  <w:style w:type="character" w:styleId="961" w:customStyle="1">
    <w:name w:val="批注主题 字符"/>
    <w:basedOn w:val="960"/>
    <w:link w:val="786"/>
    <w:uiPriority w:val="99"/>
    <w:semiHidden/>
    <w:qFormat/>
    <w:rPr>
      <w:b/>
      <w:bCs/>
    </w:rPr>
  </w:style>
  <w:style w:type="character" w:styleId="962" w:customStyle="1">
    <w:name w:val="批注框文本 字符"/>
    <w:basedOn w:val="762"/>
    <w:link w:val="774"/>
    <w:uiPriority w:val="99"/>
    <w:semiHidden/>
    <w:qFormat/>
    <w:rPr>
      <w:sz w:val="18"/>
      <w:szCs w:val="18"/>
    </w:rPr>
  </w:style>
  <w:style w:type="paragraph" w:styleId="963" w:customStyle="1">
    <w:name w:val="修订2"/>
    <w:hidden/>
    <w:uiPriority w:val="99"/>
    <w:unhideWhenUsed/>
    <w:qFormat/>
    <w:pPr>
      <w:spacing w:after="160" w:line="278" w:lineRule="auto"/>
    </w:pPr>
  </w:style>
  <w:style w:type="paragraph" w:styleId="964" w:customStyle="1">
    <w:name w:val="修订3"/>
    <w:hidden/>
    <w:uiPriority w:val="99"/>
    <w:semiHidden/>
    <w:qFormat/>
    <w:pPr>
      <w:spacing w:after="160" w:line="278" w:lineRule="auto"/>
    </w:pPr>
  </w:style>
  <w:style w:type="paragraph" w:styleId="965" w:customStyle="1">
    <w:name w:val="普通正文"/>
    <w:basedOn w:val="752"/>
    <w:qFormat/>
    <w:pPr>
      <w:ind w:firstLine="480"/>
      <w:spacing w:before="120" w:after="120" w:line="360" w:lineRule="auto"/>
    </w:pPr>
    <w:rPr>
      <w:rFonts w:ascii="Arial" w:hAnsi="Arial"/>
      <w:szCs w:val="24"/>
    </w:rPr>
  </w:style>
  <w:style w:type="paragraph" w:styleId="966" w:customStyle="1">
    <w:name w:val="_Style 226"/>
    <w:basedOn w:val="753"/>
    <w:next w:val="752"/>
    <w:qFormat/>
    <w:pPr>
      <w:spacing w:line="276" w:lineRule="auto"/>
      <w:outlineLvl w:val="9"/>
    </w:pPr>
    <w:rPr>
      <w:rFonts w:ascii="Cambria" w:hAnsi="Cambria" w:eastAsia="宋体"/>
      <w:bCs/>
      <w:color w:val="365f91"/>
    </w:rPr>
  </w:style>
  <w:style w:type="paragraph" w:styleId="967" w:customStyle="1">
    <w:name w:val="修订4"/>
    <w:hidden/>
    <w:uiPriority w:val="99"/>
    <w:semiHidden/>
    <w:qFormat/>
    <w:pPr>
      <w:spacing w:after="160" w:line="278" w:lineRule="auto"/>
    </w:pPr>
  </w:style>
  <w:style w:type="paragraph" w:styleId="968" w:customStyle="1">
    <w:name w:val="修订5"/>
    <w:hidden/>
    <w:uiPriority w:val="99"/>
    <w:unhideWhenUsed/>
    <w:qFormat/>
    <w:pPr>
      <w:spacing w:after="160" w:line="278" w:lineRule="auto"/>
    </w:pPr>
  </w:style>
  <w:style w:type="paragraph" w:styleId="969" w:customStyle="1">
    <w:name w:val="修订6"/>
    <w:hidden/>
    <w:uiPriority w:val="99"/>
    <w:semiHidden/>
    <w:qFormat/>
    <w:pPr>
      <w:spacing w:after="160" w:line="278" w:lineRule="auto"/>
    </w:pPr>
  </w:style>
  <w:style w:type="paragraph" w:styleId="970" w:customStyle="1">
    <w:name w:val="修订7"/>
    <w:hidden/>
    <w:uiPriority w:val="99"/>
    <w:semiHidden/>
    <w:qFormat/>
    <w:pPr>
      <w:spacing w:after="160" w:line="278" w:lineRule="auto"/>
    </w:pPr>
  </w:style>
  <w:style w:type="paragraph" w:styleId="971" w:customStyle="1">
    <w:name w:val="修订8"/>
    <w:hidden/>
    <w:uiPriority w:val="99"/>
    <w:semiHidden/>
    <w:pPr>
      <w:spacing w:after="160" w:line="278" w:lineRule="auto"/>
    </w:pPr>
  </w:style>
  <w:style w:type="paragraph" w:styleId="972" w:customStyle="1">
    <w:name w:val="Table Text"/>
    <w:basedOn w:val="752"/>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73" w:customStyle="1">
    <w:name w:val="修订9"/>
    <w:hidden/>
    <w:uiPriority w:val="99"/>
    <w:unhideWhenUsed/>
    <w:pPr>
      <w:spacing w:after="160" w:line="278" w:lineRule="auto"/>
    </w:pPr>
  </w:style>
  <w:style w:type="paragraph" w:styleId="974" w:customStyle="1">
    <w:name w:val="修订10"/>
    <w:hidden/>
    <w:uiPriority w:val="99"/>
    <w:unhideWhenUsed/>
  </w:style>
  <w:style w:type="paragraph" w:styleId="975">
    <w:name w:val="Revision"/>
    <w:hidden/>
    <w:uiPriority w:val="99"/>
    <w:semiHidden/>
  </w:style>
  <w:style w:type="paragraph" w:styleId="976">
    <w:name w:val="index 4"/>
    <w:basedOn w:val="752"/>
    <w:next w:val="752"/>
    <w:qFormat/>
    <w:pPr>
      <w:ind w:left="600"/>
      <w:jc w:val="both"/>
      <w:spacing w:after="0" w:line="240" w:lineRule="auto"/>
      <w:widowControl w:val="off"/>
    </w:pPr>
    <w:rPr>
      <w:rFonts w:ascii="Calibri" w:hAnsi="Calibri" w:eastAsia="宋体"/>
      <w:sz w:val="21"/>
      <w:szCs w:val="22"/>
    </w:rPr>
  </w:style>
  <w:style w:type="paragraph" w:styleId="977">
    <w:name w:val="Normal (Web)"/>
    <w:basedOn w:val="752"/>
    <w:unhideWhenUsed/>
    <w:qFormat/>
    <w:pPr>
      <w:spacing w:before="100" w:beforeAutospacing="1" w:after="100" w:afterAutospacing="1"/>
    </w:pPr>
    <w:rPr>
      <w:rFonts w:ascii="宋体" w:hAnsi="宋体" w:eastAsia="宋体" w:cs="宋体"/>
      <w:sz w:val="24"/>
      <w:szCs w:val="24"/>
    </w:rPr>
  </w:style>
  <w:style w:type="character" w:styleId="978">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DE5EF-3D9C-4E9A-BA00-5B2FC8BB6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WKF</dc:creator>
  <cp:lastModifiedBy>吴岢非</cp:lastModifiedBy>
  <cp:revision>5</cp:revision>
  <dcterms:created xsi:type="dcterms:W3CDTF">2026-07-14T18:05:00Z</dcterms:created>
  <dcterms:modified xsi:type="dcterms:W3CDTF">2026-07-16T02:32:16Z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C73166466FE346EEAEDD3DA60C49304C_13</vt:lpwstr>
  </property>
  <property fmtid="{D5CDD505-2E9C-101B-9397-08002B2CF9AE}" pid="4" name="KSOTemplateDocerSaveRecord">
    <vt:lpwstr>eyJoZGlkIjoiOTNlNTRkNTQ4MWZmZmViNjg3ODU5MGFlZmY4OTg2YTQifQ==</vt:lpwstr>
  </property>
</Properties>
</file>